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CB" w:rsidRPr="004C22CB" w:rsidRDefault="004C22CB" w:rsidP="004C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mallCaps/>
          <w:sz w:val="36"/>
          <w:szCs w:val="36"/>
        </w:rPr>
      </w:pPr>
      <w:r w:rsidRPr="004C22CB">
        <w:rPr>
          <w:rFonts w:eastAsia="Times New Roman" w:cstheme="minorHAnsi"/>
          <w:b/>
          <w:smallCaps/>
          <w:sz w:val="36"/>
          <w:szCs w:val="36"/>
        </w:rPr>
        <w:t>United States District Court</w:t>
      </w:r>
    </w:p>
    <w:p w:rsidR="004C22CB" w:rsidRPr="004C22CB" w:rsidRDefault="004C22CB" w:rsidP="004C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mallCaps/>
          <w:sz w:val="36"/>
          <w:szCs w:val="36"/>
        </w:rPr>
      </w:pPr>
      <w:r w:rsidRPr="004C22CB">
        <w:rPr>
          <w:rFonts w:eastAsia="Times New Roman" w:cstheme="minorHAnsi"/>
          <w:b/>
          <w:smallCaps/>
          <w:sz w:val="36"/>
          <w:szCs w:val="36"/>
        </w:rPr>
        <w:t>Southern District of New York</w:t>
      </w:r>
    </w:p>
    <w:p w:rsidR="004C22CB" w:rsidRDefault="004C22CB" w:rsidP="00983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rsidR="004C22CB" w:rsidRDefault="004C22CB" w:rsidP="00983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62336" behindDoc="0" locked="0" layoutInCell="1" allowOverlap="1">
                <wp:simplePos x="0" y="0"/>
                <wp:positionH relativeFrom="column">
                  <wp:posOffset>3058886</wp:posOffset>
                </wp:positionH>
                <wp:positionV relativeFrom="paragraph">
                  <wp:posOffset>81643</wp:posOffset>
                </wp:positionV>
                <wp:extent cx="146957" cy="1774008"/>
                <wp:effectExtent l="0" t="0" r="24765" b="17145"/>
                <wp:wrapNone/>
                <wp:docPr id="5" name="Right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957" cy="1774008"/>
                        </a:xfrm>
                        <a:prstGeom prst="rightBracket">
                          <a:avLst>
                            <a:gd name="adj" fmla="val 1413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5" o:spid="_x0000_s1026" type="#_x0000_t86" style="position:absolute;margin-left:240.85pt;margin-top:6.45pt;width:11.55pt;height:1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" adj="2529"/>
            </w:pict>
          </mc:Fallback>
        </mc:AlternateContent>
      </w:r>
      <w:r>
        <w:rPr>
          <w:rFonts w:eastAsia="Times New Roman" w:cstheme="minorHAnsi"/>
          <w:noProof/>
          <w:sz w:val="24"/>
          <w:szCs w:val="24"/>
        </w:rPr>
        <mc:AlternateContent>
          <mc:Choice Requires="wps">
            <w:drawing>
              <wp:anchor distT="0" distB="0" distL="114300" distR="114300" simplePos="0" relativeHeight="251659264" behindDoc="0" locked="0" layoutInCell="1" allowOverlap="1" wp14:anchorId="6478482C" wp14:editId="7575A715">
                <wp:simplePos x="0" y="0"/>
                <wp:positionH relativeFrom="column">
                  <wp:posOffset>-1</wp:posOffset>
                </wp:positionH>
                <wp:positionV relativeFrom="paragraph">
                  <wp:posOffset>76200</wp:posOffset>
                </wp:positionV>
                <wp:extent cx="3064329" cy="5443"/>
                <wp:effectExtent l="0" t="0" r="22225" b="33020"/>
                <wp:wrapNone/>
                <wp:docPr id="1" name="Straight Connector 1"/>
                <wp:cNvGraphicFramePr/>
                <a:graphic xmlns:a="http://schemas.openxmlformats.org/drawingml/2006/main">
                  <a:graphicData uri="http://schemas.microsoft.com/office/word/2010/wordprocessingShape">
                    <wps:wsp>
                      <wps:cNvCnPr/>
                      <wps:spPr>
                        <a:xfrm>
                          <a:off x="0" y="0"/>
                          <a:ext cx="3064329" cy="54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pt" to="241.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" strokecolor="black [3040]"/>
            </w:pict>
          </mc:Fallback>
        </mc:AlternateContent>
      </w:r>
    </w:p>
    <w:p w:rsidR="004C22CB" w:rsidRDefault="004C22CB" w:rsidP="00983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rsidR="004C22CB" w:rsidRDefault="00B374A0" w:rsidP="00983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B374A0">
        <w:rPr>
          <w:rFonts w:eastAsia="Times New Roman" w:cstheme="minorHAnsi"/>
          <w:sz w:val="24"/>
          <w:szCs w:val="24"/>
          <w:highlight w:val="yellow"/>
        </w:rPr>
        <w:t>Name of Plaintiff</w:t>
      </w:r>
      <w:r w:rsidR="004C22CB">
        <w:rPr>
          <w:rFonts w:eastAsia="Times New Roman" w:cstheme="minorHAnsi"/>
          <w:sz w:val="24"/>
          <w:szCs w:val="24"/>
        </w:rPr>
        <w:t>,</w:t>
      </w:r>
    </w:p>
    <w:p w:rsidR="004C22CB" w:rsidRDefault="004C22CB" w:rsidP="00983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Plaintiff</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BE573C">
        <w:rPr>
          <w:rFonts w:eastAsia="Times New Roman" w:cstheme="minorHAnsi"/>
          <w:sz w:val="24"/>
          <w:szCs w:val="24"/>
        </w:rPr>
        <w:t>00</w:t>
      </w:r>
      <w:r>
        <w:rPr>
          <w:rFonts w:eastAsia="Times New Roman" w:cstheme="minorHAnsi"/>
          <w:sz w:val="24"/>
          <w:szCs w:val="24"/>
        </w:rPr>
        <w:t>-</w:t>
      </w:r>
      <w:r w:rsidR="00BE573C">
        <w:rPr>
          <w:rFonts w:eastAsia="Times New Roman" w:cstheme="minorHAnsi"/>
          <w:sz w:val="24"/>
          <w:szCs w:val="24"/>
        </w:rPr>
        <w:t>AA</w:t>
      </w:r>
      <w:r>
        <w:rPr>
          <w:rFonts w:eastAsia="Times New Roman" w:cstheme="minorHAnsi"/>
          <w:sz w:val="24"/>
          <w:szCs w:val="24"/>
        </w:rPr>
        <w:t>-</w:t>
      </w:r>
      <w:r w:rsidR="00BE573C">
        <w:rPr>
          <w:rFonts w:eastAsia="Times New Roman" w:cstheme="minorHAnsi"/>
          <w:sz w:val="24"/>
          <w:szCs w:val="24"/>
        </w:rPr>
        <w:t>1111</w:t>
      </w:r>
    </w:p>
    <w:p w:rsidR="004C22CB" w:rsidRDefault="004C22CB" w:rsidP="00983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rsidR="004C22CB" w:rsidRPr="004C22CB" w:rsidRDefault="004C22CB" w:rsidP="00983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mallCaps/>
          <w:sz w:val="28"/>
          <w:szCs w:val="28"/>
        </w:rPr>
      </w:pPr>
      <w:r>
        <w:rPr>
          <w:rFonts w:eastAsia="Times New Roman" w:cstheme="minorHAnsi"/>
          <w:sz w:val="24"/>
          <w:szCs w:val="24"/>
        </w:rPr>
        <w:tab/>
      </w:r>
      <w:r>
        <w:rPr>
          <w:rFonts w:eastAsia="Times New Roman" w:cstheme="minorHAnsi"/>
          <w:sz w:val="24"/>
          <w:szCs w:val="24"/>
        </w:rPr>
        <w:tab/>
        <w:t>-against-</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Pr="004C22CB">
        <w:rPr>
          <w:rFonts w:eastAsia="Times New Roman" w:cstheme="minorHAnsi"/>
          <w:b/>
          <w:smallCaps/>
          <w:sz w:val="28"/>
          <w:szCs w:val="28"/>
        </w:rPr>
        <w:t>Writ of Error</w:t>
      </w:r>
    </w:p>
    <w:p w:rsidR="004C22CB" w:rsidRDefault="004C22CB" w:rsidP="00983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rsidR="004C22CB" w:rsidRDefault="00B374A0" w:rsidP="00983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B374A0">
        <w:rPr>
          <w:rFonts w:eastAsia="Times New Roman" w:cstheme="minorHAnsi"/>
          <w:sz w:val="24"/>
          <w:szCs w:val="24"/>
          <w:highlight w:val="yellow"/>
        </w:rPr>
        <w:t>Name of defendants</w:t>
      </w:r>
      <w:r w:rsidR="004C22CB" w:rsidRPr="00B374A0">
        <w:rPr>
          <w:rFonts w:eastAsia="Times New Roman" w:cstheme="minorHAnsi"/>
          <w:sz w:val="24"/>
          <w:szCs w:val="24"/>
          <w:highlight w:val="yellow"/>
        </w:rPr>
        <w:t>, et al.,</w:t>
      </w:r>
    </w:p>
    <w:p w:rsidR="004C22CB" w:rsidRDefault="004C22CB" w:rsidP="00983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Defendants</w:t>
      </w:r>
    </w:p>
    <w:p w:rsidR="004C22CB" w:rsidRDefault="004C22CB" w:rsidP="00983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rsidR="004C22CB" w:rsidRDefault="004C22CB" w:rsidP="00983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61312" behindDoc="0" locked="0" layoutInCell="1" allowOverlap="1" wp14:anchorId="4A7F85C4" wp14:editId="193B9103">
                <wp:simplePos x="0" y="0"/>
                <wp:positionH relativeFrom="column">
                  <wp:posOffset>9525</wp:posOffset>
                </wp:positionH>
                <wp:positionV relativeFrom="paragraph">
                  <wp:posOffset>70757</wp:posOffset>
                </wp:positionV>
                <wp:extent cx="3063875" cy="5080"/>
                <wp:effectExtent l="0" t="0" r="22225" b="33020"/>
                <wp:wrapNone/>
                <wp:docPr id="2" name="Straight Connector 2"/>
                <wp:cNvGraphicFramePr/>
                <a:graphic xmlns:a="http://schemas.openxmlformats.org/drawingml/2006/main">
                  <a:graphicData uri="http://schemas.microsoft.com/office/word/2010/wordprocessingShape">
                    <wps:wsp>
                      <wps:cNvCnPr/>
                      <wps:spPr>
                        <a:xfrm>
                          <a:off x="0" y="0"/>
                          <a:ext cx="306387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5.55pt" to="24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" strokecolor="black [3040]"/>
            </w:pict>
          </mc:Fallback>
        </mc:AlternateContent>
      </w:r>
    </w:p>
    <w:p w:rsidR="00983EB2" w:rsidRDefault="00983EB2" w:rsidP="00FC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4"/>
          <w:szCs w:val="24"/>
        </w:rPr>
      </w:pPr>
    </w:p>
    <w:p w:rsidR="006338E1" w:rsidRDefault="006338E1" w:rsidP="00FC2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sz w:val="24"/>
          <w:szCs w:val="24"/>
        </w:rPr>
      </w:pPr>
    </w:p>
    <w:p w:rsidR="00983EB2" w:rsidRPr="00983EB2" w:rsidRDefault="00983EB2" w:rsidP="00FC2CF8">
      <w:pPr>
        <w:spacing w:after="0" w:line="360" w:lineRule="auto"/>
        <w:jc w:val="both"/>
        <w:rPr>
          <w:rFonts w:eastAsia="Times New Roman" w:cstheme="minorHAnsi"/>
          <w:sz w:val="24"/>
          <w:szCs w:val="24"/>
        </w:rPr>
      </w:pPr>
      <w:r w:rsidRPr="00983EB2">
        <w:rPr>
          <w:rFonts w:eastAsia="Times New Roman" w:cstheme="minorHAnsi"/>
          <w:b/>
          <w:sz w:val="24"/>
          <w:szCs w:val="24"/>
        </w:rPr>
        <w:t xml:space="preserve">THE COURT </w:t>
      </w:r>
      <w:r w:rsidR="00FD5EB6" w:rsidRPr="00B01DC5">
        <w:rPr>
          <w:rFonts w:eastAsia="Times New Roman" w:cstheme="minorHAnsi"/>
          <w:b/>
          <w:sz w:val="24"/>
          <w:szCs w:val="24"/>
        </w:rPr>
        <w:t xml:space="preserve">OF RECORD </w:t>
      </w:r>
      <w:r w:rsidRPr="00983EB2">
        <w:rPr>
          <w:rFonts w:eastAsia="Times New Roman" w:cstheme="minorHAnsi"/>
          <w:b/>
          <w:sz w:val="24"/>
          <w:szCs w:val="24"/>
        </w:rPr>
        <w:t>COMES NOW</w:t>
      </w:r>
      <w:r w:rsidRPr="00983EB2">
        <w:rPr>
          <w:rFonts w:eastAsia="Times New Roman" w:cstheme="minorHAnsi"/>
          <w:sz w:val="24"/>
          <w:szCs w:val="24"/>
        </w:rPr>
        <w:t xml:space="preserve"> to review the facts, record, and process resulting in the rulings dated </w:t>
      </w:r>
      <w:r w:rsidR="00FD5EB6">
        <w:rPr>
          <w:rFonts w:eastAsia="Times New Roman" w:cstheme="minorHAnsi"/>
          <w:sz w:val="24"/>
          <w:szCs w:val="24"/>
        </w:rPr>
        <w:t>April</w:t>
      </w:r>
      <w:r w:rsidRPr="00983EB2">
        <w:rPr>
          <w:rFonts w:eastAsia="Times New Roman" w:cstheme="minorHAnsi"/>
          <w:sz w:val="24"/>
          <w:szCs w:val="24"/>
        </w:rPr>
        <w:t xml:space="preserve"> 1, </w:t>
      </w:r>
      <w:r w:rsidR="00FD5EB6">
        <w:rPr>
          <w:rFonts w:eastAsia="Times New Roman" w:cstheme="minorHAnsi"/>
          <w:sz w:val="24"/>
          <w:szCs w:val="24"/>
        </w:rPr>
        <w:t>2015</w:t>
      </w:r>
      <w:r w:rsidR="006338E1">
        <w:rPr>
          <w:rFonts w:eastAsia="Times New Roman" w:cstheme="minorHAnsi"/>
          <w:sz w:val="24"/>
          <w:szCs w:val="24"/>
        </w:rPr>
        <w:t>, attached</w:t>
      </w:r>
      <w:r w:rsidRPr="00983EB2">
        <w:rPr>
          <w:rFonts w:eastAsia="Times New Roman" w:cstheme="minorHAnsi"/>
          <w:sz w:val="24"/>
          <w:szCs w:val="24"/>
        </w:rPr>
        <w:t>:</w:t>
      </w:r>
    </w:p>
    <w:p w:rsidR="006338E1" w:rsidRDefault="00983EB2" w:rsidP="00FC2CF8">
      <w:pPr>
        <w:spacing w:before="100" w:beforeAutospacing="1" w:after="100" w:afterAutospacing="1" w:line="360" w:lineRule="auto"/>
        <w:jc w:val="both"/>
        <w:rPr>
          <w:rFonts w:eastAsia="Times New Roman" w:cstheme="minorHAnsi"/>
          <w:sz w:val="24"/>
          <w:szCs w:val="24"/>
        </w:rPr>
      </w:pPr>
      <w:r w:rsidRPr="00983EB2">
        <w:rPr>
          <w:rFonts w:eastAsia="Times New Roman" w:cstheme="minorHAnsi"/>
          <w:sz w:val="24"/>
          <w:szCs w:val="24"/>
        </w:rPr>
        <w:t xml:space="preserve">The record shows that this court of record held a hearing on </w:t>
      </w:r>
      <w:r w:rsidR="00FD5EB6">
        <w:rPr>
          <w:rFonts w:eastAsia="Times New Roman" w:cstheme="minorHAnsi"/>
          <w:sz w:val="24"/>
          <w:szCs w:val="24"/>
        </w:rPr>
        <w:t>April</w:t>
      </w:r>
      <w:r w:rsidR="00FD5EB6" w:rsidRPr="00983EB2">
        <w:rPr>
          <w:rFonts w:eastAsia="Times New Roman" w:cstheme="minorHAnsi"/>
          <w:sz w:val="24"/>
          <w:szCs w:val="24"/>
        </w:rPr>
        <w:t xml:space="preserve"> 1, </w:t>
      </w:r>
      <w:r w:rsidR="00FD5EB6">
        <w:rPr>
          <w:rFonts w:eastAsia="Times New Roman" w:cstheme="minorHAnsi"/>
          <w:sz w:val="24"/>
          <w:szCs w:val="24"/>
        </w:rPr>
        <w:t>2015</w:t>
      </w:r>
      <w:r w:rsidR="001F2BBE">
        <w:rPr>
          <w:rFonts w:eastAsia="Times New Roman" w:cstheme="minorHAnsi"/>
          <w:sz w:val="24"/>
          <w:szCs w:val="24"/>
        </w:rPr>
        <w:t xml:space="preserve">, </w:t>
      </w:r>
      <w:r w:rsidR="00145A84">
        <w:rPr>
          <w:rFonts w:eastAsia="Times New Roman" w:cstheme="minorHAnsi"/>
          <w:sz w:val="24"/>
          <w:szCs w:val="24"/>
        </w:rPr>
        <w:t xml:space="preserve">contrary to the rules of common law, proceeding </w:t>
      </w:r>
      <w:r w:rsidR="00145A84" w:rsidRPr="00145A84">
        <w:rPr>
          <w:rFonts w:eastAsia="Times New Roman" w:cstheme="minorHAnsi"/>
          <w:sz w:val="24"/>
          <w:szCs w:val="24"/>
        </w:rPr>
        <w:t>according to the principles of the method and procedure adopted by the court of chancery</w:t>
      </w:r>
      <w:r w:rsidR="00145A84">
        <w:rPr>
          <w:rFonts w:eastAsia="Times New Roman" w:cstheme="minorHAnsi"/>
          <w:sz w:val="24"/>
          <w:szCs w:val="24"/>
        </w:rPr>
        <w:t xml:space="preserve"> </w:t>
      </w:r>
      <w:r w:rsidRPr="00983EB2">
        <w:rPr>
          <w:rFonts w:eastAsia="Times New Roman" w:cstheme="minorHAnsi"/>
          <w:sz w:val="24"/>
          <w:szCs w:val="24"/>
        </w:rPr>
        <w:t>for the purpose of</w:t>
      </w:r>
      <w:r w:rsidR="00145A84">
        <w:rPr>
          <w:rFonts w:eastAsia="Times New Roman" w:cstheme="minorHAnsi"/>
          <w:sz w:val="24"/>
          <w:szCs w:val="24"/>
        </w:rPr>
        <w:t xml:space="preserve"> changing jurisdictions</w:t>
      </w:r>
      <w:r w:rsidR="00145A84">
        <w:rPr>
          <w:rStyle w:val="FootnoteReference"/>
          <w:rFonts w:eastAsia="Times New Roman" w:cstheme="minorHAnsi"/>
          <w:sz w:val="24"/>
          <w:szCs w:val="24"/>
        </w:rPr>
        <w:footnoteReference w:id="1"/>
      </w:r>
      <w:r w:rsidR="00145A84">
        <w:rPr>
          <w:rFonts w:eastAsia="Times New Roman" w:cstheme="minorHAnsi"/>
          <w:sz w:val="24"/>
          <w:szCs w:val="24"/>
        </w:rPr>
        <w:t xml:space="preserve"> from </w:t>
      </w:r>
      <w:r w:rsidR="00A17668">
        <w:rPr>
          <w:rFonts w:eastAsia="Times New Roman" w:cstheme="minorHAnsi"/>
          <w:sz w:val="24"/>
          <w:szCs w:val="24"/>
        </w:rPr>
        <w:t xml:space="preserve">[common] </w:t>
      </w:r>
      <w:r w:rsidR="00145A84">
        <w:rPr>
          <w:rFonts w:eastAsia="Times New Roman" w:cstheme="minorHAnsi"/>
          <w:sz w:val="24"/>
          <w:szCs w:val="24"/>
        </w:rPr>
        <w:t>law</w:t>
      </w:r>
      <w:r w:rsidR="00A17668">
        <w:rPr>
          <w:rStyle w:val="FootnoteReference"/>
          <w:rFonts w:eastAsia="Times New Roman" w:cstheme="minorHAnsi"/>
          <w:sz w:val="24"/>
          <w:szCs w:val="24"/>
        </w:rPr>
        <w:footnoteReference w:id="2"/>
      </w:r>
      <w:r w:rsidR="00145A84">
        <w:rPr>
          <w:rFonts w:eastAsia="Times New Roman" w:cstheme="minorHAnsi"/>
          <w:sz w:val="24"/>
          <w:szCs w:val="24"/>
        </w:rPr>
        <w:t xml:space="preserve"> to equity which proceeds under the rules of chancery; citing 28 USC 1914 &amp; 1915</w:t>
      </w:r>
      <w:r w:rsidR="003D6EB1">
        <w:rPr>
          <w:rFonts w:eastAsia="Times New Roman" w:cstheme="minorHAnsi"/>
          <w:sz w:val="24"/>
          <w:szCs w:val="24"/>
        </w:rPr>
        <w:t xml:space="preserve"> (statutes repugnant to the constitution)</w:t>
      </w:r>
      <w:r w:rsidR="00145A84">
        <w:rPr>
          <w:rFonts w:eastAsia="Times New Roman" w:cstheme="minorHAnsi"/>
          <w:sz w:val="24"/>
          <w:szCs w:val="24"/>
        </w:rPr>
        <w:t xml:space="preserve"> as its authority</w:t>
      </w:r>
      <w:r w:rsidR="00A17668">
        <w:rPr>
          <w:rFonts w:eastAsia="Times New Roman" w:cstheme="minorHAnsi"/>
          <w:sz w:val="24"/>
          <w:szCs w:val="24"/>
        </w:rPr>
        <w:t xml:space="preserve"> </w:t>
      </w:r>
      <w:r w:rsidR="006338E1">
        <w:rPr>
          <w:rFonts w:eastAsia="Times New Roman" w:cstheme="minorHAnsi"/>
          <w:sz w:val="24"/>
          <w:szCs w:val="24"/>
        </w:rPr>
        <w:t>that extorts filthy-lucre which perverts judgment</w:t>
      </w:r>
      <w:r w:rsidR="006338E1">
        <w:rPr>
          <w:rStyle w:val="FootnoteReference"/>
          <w:rFonts w:eastAsia="Times New Roman" w:cstheme="minorHAnsi"/>
          <w:sz w:val="24"/>
          <w:szCs w:val="24"/>
        </w:rPr>
        <w:footnoteReference w:id="3"/>
      </w:r>
      <w:r w:rsidR="006338E1">
        <w:rPr>
          <w:rFonts w:eastAsia="Times New Roman" w:cstheme="minorHAnsi"/>
          <w:sz w:val="24"/>
          <w:szCs w:val="24"/>
        </w:rPr>
        <w:t xml:space="preserve"> under </w:t>
      </w:r>
      <w:r w:rsidR="00A17668">
        <w:rPr>
          <w:rFonts w:eastAsia="Times New Roman" w:cstheme="minorHAnsi"/>
          <w:sz w:val="24"/>
          <w:szCs w:val="24"/>
        </w:rPr>
        <w:t>threat to unlawfully dismiss plaintiffs action</w:t>
      </w:r>
      <w:r w:rsidR="006338E1">
        <w:rPr>
          <w:rFonts w:eastAsia="Times New Roman" w:cstheme="minorHAnsi"/>
          <w:sz w:val="24"/>
          <w:szCs w:val="24"/>
        </w:rPr>
        <w:t xml:space="preserve"> thereby</w:t>
      </w:r>
      <w:r w:rsidR="003D6EB1">
        <w:rPr>
          <w:rFonts w:eastAsia="Times New Roman" w:cstheme="minorHAnsi"/>
          <w:sz w:val="24"/>
          <w:szCs w:val="24"/>
        </w:rPr>
        <w:t xml:space="preserve"> den</w:t>
      </w:r>
      <w:r w:rsidR="006338E1">
        <w:rPr>
          <w:rFonts w:eastAsia="Times New Roman" w:cstheme="minorHAnsi"/>
          <w:sz w:val="24"/>
          <w:szCs w:val="24"/>
        </w:rPr>
        <w:t>ying</w:t>
      </w:r>
      <w:r w:rsidR="003D6EB1">
        <w:rPr>
          <w:rFonts w:eastAsia="Times New Roman" w:cstheme="minorHAnsi"/>
          <w:sz w:val="24"/>
          <w:szCs w:val="24"/>
        </w:rPr>
        <w:t xml:space="preserve"> plaintiff</w:t>
      </w:r>
      <w:r w:rsidR="00B374A0">
        <w:rPr>
          <w:rFonts w:eastAsia="Times New Roman" w:cstheme="minorHAnsi"/>
          <w:sz w:val="24"/>
          <w:szCs w:val="24"/>
        </w:rPr>
        <w:t>’</w:t>
      </w:r>
      <w:r w:rsidR="003D6EB1">
        <w:rPr>
          <w:rFonts w:eastAsia="Times New Roman" w:cstheme="minorHAnsi"/>
          <w:sz w:val="24"/>
          <w:szCs w:val="24"/>
        </w:rPr>
        <w:t>s unalienable right of due process,</w:t>
      </w:r>
      <w:r w:rsidR="003D6EB1">
        <w:rPr>
          <w:rStyle w:val="FootnoteReference"/>
          <w:rFonts w:eastAsia="Times New Roman" w:cstheme="minorHAnsi"/>
          <w:sz w:val="24"/>
          <w:szCs w:val="24"/>
        </w:rPr>
        <w:footnoteReference w:id="4"/>
      </w:r>
      <w:r w:rsidR="00826539">
        <w:rPr>
          <w:rFonts w:eastAsia="Times New Roman" w:cstheme="minorHAnsi"/>
          <w:sz w:val="24"/>
          <w:szCs w:val="24"/>
        </w:rPr>
        <w:t xml:space="preserve"> </w:t>
      </w:r>
      <w:r w:rsidR="00145A84">
        <w:rPr>
          <w:rFonts w:eastAsia="Times New Roman" w:cstheme="minorHAnsi"/>
          <w:sz w:val="24"/>
          <w:szCs w:val="24"/>
        </w:rPr>
        <w:t xml:space="preserve">by </w:t>
      </w:r>
      <w:r w:rsidR="001F2BBE">
        <w:rPr>
          <w:rFonts w:eastAsia="Times New Roman" w:cstheme="minorHAnsi"/>
          <w:sz w:val="24"/>
          <w:szCs w:val="24"/>
        </w:rPr>
        <w:t xml:space="preserve">dismissing a </w:t>
      </w:r>
      <w:r w:rsidR="00145A84">
        <w:rPr>
          <w:rFonts w:eastAsia="Times New Roman" w:cstheme="minorHAnsi"/>
          <w:sz w:val="24"/>
          <w:szCs w:val="24"/>
        </w:rPr>
        <w:t>court of record.</w:t>
      </w:r>
      <w:r w:rsidR="00826539">
        <w:rPr>
          <w:rFonts w:eastAsia="Times New Roman" w:cstheme="minorHAnsi"/>
          <w:sz w:val="24"/>
          <w:szCs w:val="24"/>
        </w:rPr>
        <w:t xml:space="preserve"> </w:t>
      </w:r>
      <w:r w:rsidR="006338E1">
        <w:rPr>
          <w:rFonts w:eastAsia="Times New Roman" w:cstheme="minorHAnsi"/>
          <w:sz w:val="24"/>
          <w:szCs w:val="24"/>
        </w:rPr>
        <w:t>Or pay the extortion fee for a jurisdiction</w:t>
      </w:r>
      <w:r w:rsidR="00AC1687">
        <w:rPr>
          <w:rFonts w:eastAsia="Times New Roman" w:cstheme="minorHAnsi"/>
          <w:sz w:val="24"/>
          <w:szCs w:val="24"/>
        </w:rPr>
        <w:t xml:space="preserve"> that produces the same results</w:t>
      </w:r>
      <w:r w:rsidR="006338E1">
        <w:rPr>
          <w:rFonts w:eastAsia="Times New Roman" w:cstheme="minorHAnsi"/>
          <w:sz w:val="24"/>
          <w:szCs w:val="24"/>
        </w:rPr>
        <w:t xml:space="preserve"> </w:t>
      </w:r>
      <w:r w:rsidR="00AC1687">
        <w:rPr>
          <w:rFonts w:eastAsia="Times New Roman" w:cstheme="minorHAnsi"/>
          <w:sz w:val="24"/>
          <w:szCs w:val="24"/>
        </w:rPr>
        <w:t>dismissing plaintiff</w:t>
      </w:r>
      <w:r w:rsidR="00B374A0">
        <w:rPr>
          <w:rFonts w:eastAsia="Times New Roman" w:cstheme="minorHAnsi"/>
          <w:sz w:val="24"/>
          <w:szCs w:val="24"/>
        </w:rPr>
        <w:t>’</w:t>
      </w:r>
      <w:r w:rsidR="00AC1687">
        <w:rPr>
          <w:rFonts w:eastAsia="Times New Roman" w:cstheme="minorHAnsi"/>
          <w:sz w:val="24"/>
          <w:szCs w:val="24"/>
        </w:rPr>
        <w:t xml:space="preserve">s court of record and </w:t>
      </w:r>
      <w:r w:rsidR="006338E1">
        <w:rPr>
          <w:rFonts w:eastAsia="Times New Roman" w:cstheme="minorHAnsi"/>
          <w:sz w:val="24"/>
          <w:szCs w:val="24"/>
        </w:rPr>
        <w:t>denies plaintiff</w:t>
      </w:r>
      <w:r w:rsidR="00B374A0">
        <w:rPr>
          <w:rFonts w:eastAsia="Times New Roman" w:cstheme="minorHAnsi"/>
          <w:sz w:val="24"/>
          <w:szCs w:val="24"/>
        </w:rPr>
        <w:t>’</w:t>
      </w:r>
      <w:r w:rsidR="006338E1">
        <w:rPr>
          <w:rFonts w:eastAsia="Times New Roman" w:cstheme="minorHAnsi"/>
          <w:sz w:val="24"/>
          <w:szCs w:val="24"/>
        </w:rPr>
        <w:t>s unalienable right of due process.</w:t>
      </w:r>
    </w:p>
    <w:p w:rsidR="003E12B7" w:rsidRDefault="003E12B7" w:rsidP="00FC2CF8">
      <w:pPr>
        <w:spacing w:before="100" w:beforeAutospacing="1" w:after="100" w:afterAutospacing="1" w:line="360" w:lineRule="auto"/>
        <w:jc w:val="both"/>
        <w:rPr>
          <w:rFonts w:eastAsia="Times New Roman" w:cstheme="minorHAnsi"/>
          <w:sz w:val="24"/>
          <w:szCs w:val="24"/>
        </w:rPr>
      </w:pPr>
      <w:r>
        <w:rPr>
          <w:rFonts w:eastAsia="Times New Roman" w:cstheme="minorHAnsi"/>
          <w:sz w:val="24"/>
          <w:szCs w:val="24"/>
        </w:rPr>
        <w:lastRenderedPageBreak/>
        <w:t xml:space="preserve">Furthermore even under </w:t>
      </w:r>
      <w:r w:rsidR="006B5DFD">
        <w:rPr>
          <w:rFonts w:eastAsia="Times New Roman" w:cstheme="minorHAnsi"/>
          <w:sz w:val="24"/>
          <w:szCs w:val="24"/>
        </w:rPr>
        <w:t xml:space="preserve">the court of equity’s own rules, that said court ignores </w:t>
      </w:r>
      <w:r>
        <w:rPr>
          <w:rFonts w:eastAsia="Times New Roman" w:cstheme="minorHAnsi"/>
          <w:sz w:val="24"/>
          <w:szCs w:val="24"/>
        </w:rPr>
        <w:t>28 USC has no force because it lacks regulations.</w:t>
      </w:r>
      <w:r>
        <w:rPr>
          <w:rStyle w:val="FootnoteReference"/>
          <w:rFonts w:eastAsia="Times New Roman" w:cstheme="minorHAnsi"/>
          <w:sz w:val="24"/>
          <w:szCs w:val="24"/>
        </w:rPr>
        <w:footnoteReference w:id="5"/>
      </w:r>
    </w:p>
    <w:p w:rsidR="00983EB2" w:rsidRPr="00983EB2" w:rsidRDefault="00826539" w:rsidP="00FC2CF8">
      <w:pPr>
        <w:spacing w:before="100" w:beforeAutospacing="1" w:after="100" w:afterAutospacing="1" w:line="360" w:lineRule="auto"/>
        <w:jc w:val="both"/>
        <w:rPr>
          <w:rFonts w:eastAsia="Times New Roman" w:cstheme="minorHAnsi"/>
          <w:sz w:val="24"/>
          <w:szCs w:val="24"/>
        </w:rPr>
      </w:pPr>
      <w:r>
        <w:rPr>
          <w:rFonts w:eastAsia="Times New Roman" w:cstheme="minorHAnsi"/>
          <w:sz w:val="24"/>
          <w:szCs w:val="24"/>
        </w:rPr>
        <w:t>Magistrate Loretta A Preska, acting under the color of law as judge, at a hearing contrary to common law with neither the p</w:t>
      </w:r>
      <w:r w:rsidR="00983EB2" w:rsidRPr="00983EB2">
        <w:rPr>
          <w:rFonts w:eastAsia="Times New Roman" w:cstheme="minorHAnsi"/>
          <w:sz w:val="24"/>
          <w:szCs w:val="24"/>
        </w:rPr>
        <w:t>laintiff</w:t>
      </w:r>
      <w:r>
        <w:rPr>
          <w:rFonts w:eastAsia="Times New Roman" w:cstheme="minorHAnsi"/>
          <w:sz w:val="24"/>
          <w:szCs w:val="24"/>
        </w:rPr>
        <w:t xml:space="preserve"> or the defendants </w:t>
      </w:r>
      <w:r w:rsidR="00983EB2" w:rsidRPr="00983EB2">
        <w:rPr>
          <w:rFonts w:eastAsia="Times New Roman" w:cstheme="minorHAnsi"/>
          <w:sz w:val="24"/>
          <w:szCs w:val="24"/>
        </w:rPr>
        <w:t>present.</w:t>
      </w:r>
    </w:p>
    <w:p w:rsidR="00983EB2" w:rsidRDefault="00983EB2" w:rsidP="00FC2CF8">
      <w:pPr>
        <w:spacing w:before="100" w:beforeAutospacing="1" w:after="100" w:afterAutospacing="1" w:line="360" w:lineRule="auto"/>
        <w:jc w:val="both"/>
        <w:rPr>
          <w:rFonts w:eastAsia="Times New Roman" w:cstheme="minorHAnsi"/>
          <w:sz w:val="24"/>
          <w:szCs w:val="24"/>
        </w:rPr>
      </w:pPr>
      <w:r w:rsidRPr="00983EB2">
        <w:rPr>
          <w:rFonts w:eastAsia="Times New Roman" w:cstheme="minorHAnsi"/>
          <w:sz w:val="24"/>
          <w:szCs w:val="24"/>
        </w:rPr>
        <w:t>The record shows (</w:t>
      </w:r>
      <w:r w:rsidR="00FD5EB6">
        <w:rPr>
          <w:rFonts w:eastAsia="Times New Roman" w:cstheme="minorHAnsi"/>
          <w:sz w:val="24"/>
          <w:szCs w:val="24"/>
        </w:rPr>
        <w:t>ORDER DIRECTING PAYMENT</w:t>
      </w:r>
      <w:r w:rsidRPr="00983EB2">
        <w:rPr>
          <w:rFonts w:eastAsia="Times New Roman" w:cstheme="minorHAnsi"/>
          <w:sz w:val="24"/>
          <w:szCs w:val="24"/>
        </w:rPr>
        <w:t xml:space="preserve">, </w:t>
      </w:r>
      <w:r w:rsidR="00FD5EB6">
        <w:rPr>
          <w:rFonts w:eastAsia="Times New Roman" w:cstheme="minorHAnsi"/>
          <w:sz w:val="24"/>
          <w:szCs w:val="24"/>
        </w:rPr>
        <w:t>2 p</w:t>
      </w:r>
      <w:r w:rsidRPr="00983EB2">
        <w:rPr>
          <w:rFonts w:eastAsia="Times New Roman" w:cstheme="minorHAnsi"/>
          <w:sz w:val="24"/>
          <w:szCs w:val="24"/>
        </w:rPr>
        <w:t>ages</w:t>
      </w:r>
      <w:r w:rsidR="00FD5EB6">
        <w:rPr>
          <w:rFonts w:eastAsia="Times New Roman" w:cstheme="minorHAnsi"/>
          <w:sz w:val="24"/>
          <w:szCs w:val="24"/>
        </w:rPr>
        <w:t xml:space="preserve"> dated April 1, 2015 with IFP Application, 2 pages, </w:t>
      </w:r>
      <w:bookmarkStart w:id="0" w:name="_GoBack"/>
      <w:r w:rsidR="00FD5EB6">
        <w:rPr>
          <w:rFonts w:eastAsia="Times New Roman" w:cstheme="minorHAnsi"/>
          <w:sz w:val="24"/>
          <w:szCs w:val="24"/>
        </w:rPr>
        <w:t>attached</w:t>
      </w:r>
      <w:bookmarkEnd w:id="0"/>
      <w:r w:rsidR="00FD5EB6">
        <w:rPr>
          <w:rFonts w:eastAsia="Times New Roman" w:cstheme="minorHAnsi"/>
          <w:sz w:val="24"/>
          <w:szCs w:val="24"/>
        </w:rPr>
        <w:t>; see Exhibit A</w:t>
      </w:r>
      <w:r w:rsidRPr="00983EB2">
        <w:rPr>
          <w:rFonts w:eastAsia="Times New Roman" w:cstheme="minorHAnsi"/>
          <w:sz w:val="24"/>
          <w:szCs w:val="24"/>
        </w:rPr>
        <w:t>) that the magistrate</w:t>
      </w:r>
      <w:r w:rsidR="00FD5EB6">
        <w:rPr>
          <w:rFonts w:eastAsia="Times New Roman" w:cstheme="minorHAnsi"/>
          <w:sz w:val="24"/>
          <w:szCs w:val="24"/>
        </w:rPr>
        <w:t>,</w:t>
      </w:r>
      <w:r w:rsidRPr="00983EB2">
        <w:rPr>
          <w:rFonts w:eastAsia="Times New Roman" w:cstheme="minorHAnsi"/>
          <w:sz w:val="24"/>
          <w:szCs w:val="24"/>
        </w:rPr>
        <w:t xml:space="preserve"> </w:t>
      </w:r>
      <w:r w:rsidR="00FD5EB6">
        <w:rPr>
          <w:rFonts w:eastAsia="Times New Roman" w:cstheme="minorHAnsi"/>
          <w:sz w:val="24"/>
          <w:szCs w:val="24"/>
        </w:rPr>
        <w:t>on h</w:t>
      </w:r>
      <w:r w:rsidR="003B657F">
        <w:rPr>
          <w:rFonts w:eastAsia="Times New Roman" w:cstheme="minorHAnsi"/>
          <w:sz w:val="24"/>
          <w:szCs w:val="24"/>
        </w:rPr>
        <w:t>er</w:t>
      </w:r>
      <w:r w:rsidR="00FD5EB6">
        <w:rPr>
          <w:rFonts w:eastAsia="Times New Roman" w:cstheme="minorHAnsi"/>
          <w:sz w:val="24"/>
          <w:szCs w:val="24"/>
        </w:rPr>
        <w:t xml:space="preserve"> own authority, </w:t>
      </w:r>
      <w:r w:rsidRPr="00983EB2">
        <w:rPr>
          <w:rFonts w:eastAsia="Times New Roman" w:cstheme="minorHAnsi"/>
          <w:sz w:val="24"/>
          <w:szCs w:val="24"/>
        </w:rPr>
        <w:t>conduct</w:t>
      </w:r>
      <w:r w:rsidR="00FD5EB6">
        <w:rPr>
          <w:rFonts w:eastAsia="Times New Roman" w:cstheme="minorHAnsi"/>
          <w:sz w:val="24"/>
          <w:szCs w:val="24"/>
        </w:rPr>
        <w:t>ed</w:t>
      </w:r>
      <w:r w:rsidRPr="00983EB2">
        <w:rPr>
          <w:rFonts w:eastAsia="Times New Roman" w:cstheme="minorHAnsi"/>
          <w:sz w:val="24"/>
          <w:szCs w:val="24"/>
        </w:rPr>
        <w:t xml:space="preserve"> </w:t>
      </w:r>
      <w:r w:rsidR="001F2BBE">
        <w:rPr>
          <w:rFonts w:eastAsia="Times New Roman" w:cstheme="minorHAnsi"/>
          <w:sz w:val="24"/>
          <w:szCs w:val="24"/>
        </w:rPr>
        <w:t>a</w:t>
      </w:r>
      <w:r w:rsidRPr="00983EB2">
        <w:rPr>
          <w:rFonts w:eastAsia="Times New Roman" w:cstheme="minorHAnsi"/>
          <w:sz w:val="24"/>
          <w:szCs w:val="24"/>
        </w:rPr>
        <w:t xml:space="preserve"> hearing in accordance with </w:t>
      </w:r>
      <w:r w:rsidR="009128FF">
        <w:rPr>
          <w:rFonts w:eastAsia="Times New Roman" w:cstheme="minorHAnsi"/>
          <w:sz w:val="24"/>
          <w:szCs w:val="24"/>
        </w:rPr>
        <w:t>the</w:t>
      </w:r>
      <w:r w:rsidRPr="00983EB2">
        <w:rPr>
          <w:rFonts w:eastAsia="Times New Roman" w:cstheme="minorHAnsi"/>
          <w:sz w:val="24"/>
          <w:szCs w:val="24"/>
        </w:rPr>
        <w:t xml:space="preserve"> rules of </w:t>
      </w:r>
      <w:r w:rsidR="009128FF">
        <w:rPr>
          <w:rFonts w:eastAsia="Times New Roman" w:cstheme="minorHAnsi"/>
          <w:sz w:val="24"/>
          <w:szCs w:val="24"/>
        </w:rPr>
        <w:t>chancery and not law thereby t</w:t>
      </w:r>
      <w:r w:rsidR="009128FF" w:rsidRPr="009128FF">
        <w:rPr>
          <w:rFonts w:eastAsia="Times New Roman" w:cstheme="minorHAnsi"/>
          <w:sz w:val="24"/>
          <w:szCs w:val="24"/>
        </w:rPr>
        <w:t>respass</w:t>
      </w:r>
      <w:r w:rsidR="009128FF">
        <w:rPr>
          <w:rFonts w:eastAsia="Times New Roman" w:cstheme="minorHAnsi"/>
          <w:sz w:val="24"/>
          <w:szCs w:val="24"/>
        </w:rPr>
        <w:t>ing</w:t>
      </w:r>
      <w:r w:rsidR="009128FF" w:rsidRPr="009128FF">
        <w:rPr>
          <w:rFonts w:eastAsia="Times New Roman" w:cstheme="minorHAnsi"/>
          <w:sz w:val="24"/>
          <w:szCs w:val="24"/>
        </w:rPr>
        <w:t xml:space="preserve"> on the case</w:t>
      </w:r>
      <w:r w:rsidR="009128FF">
        <w:rPr>
          <w:rFonts w:eastAsia="Times New Roman" w:cstheme="minorHAnsi"/>
          <w:sz w:val="24"/>
          <w:szCs w:val="24"/>
        </w:rPr>
        <w:t>.</w:t>
      </w:r>
      <w:r w:rsidR="009128FF">
        <w:rPr>
          <w:rStyle w:val="FootnoteReference"/>
          <w:rFonts w:eastAsia="Times New Roman" w:cstheme="minorHAnsi"/>
          <w:sz w:val="24"/>
          <w:szCs w:val="24"/>
        </w:rPr>
        <w:footnoteReference w:id="6"/>
      </w:r>
      <w:r w:rsidR="009128FF">
        <w:rPr>
          <w:rFonts w:eastAsia="Times New Roman" w:cstheme="minorHAnsi"/>
          <w:sz w:val="24"/>
          <w:szCs w:val="24"/>
        </w:rPr>
        <w:t xml:space="preserve"> T</w:t>
      </w:r>
      <w:r w:rsidRPr="00983EB2">
        <w:rPr>
          <w:rFonts w:eastAsia="Times New Roman" w:cstheme="minorHAnsi"/>
          <w:sz w:val="24"/>
          <w:szCs w:val="24"/>
        </w:rPr>
        <w:t>he magistrate conducted h</w:t>
      </w:r>
      <w:r w:rsidR="003B657F">
        <w:rPr>
          <w:rFonts w:eastAsia="Times New Roman" w:cstheme="minorHAnsi"/>
          <w:sz w:val="24"/>
          <w:szCs w:val="24"/>
        </w:rPr>
        <w:t>er</w:t>
      </w:r>
      <w:r w:rsidRPr="00983EB2">
        <w:rPr>
          <w:rFonts w:eastAsia="Times New Roman" w:cstheme="minorHAnsi"/>
          <w:sz w:val="24"/>
          <w:szCs w:val="24"/>
        </w:rPr>
        <w:t xml:space="preserve"> own court, without notice or </w:t>
      </w:r>
      <w:r w:rsidR="003B657F" w:rsidRPr="00983EB2">
        <w:rPr>
          <w:rFonts w:eastAsia="Times New Roman" w:cstheme="minorHAnsi"/>
          <w:sz w:val="24"/>
          <w:szCs w:val="24"/>
        </w:rPr>
        <w:t>concurrence</w:t>
      </w:r>
      <w:r w:rsidRPr="00983EB2">
        <w:rPr>
          <w:rFonts w:eastAsia="Times New Roman" w:cstheme="minorHAnsi"/>
          <w:sz w:val="24"/>
          <w:szCs w:val="24"/>
        </w:rPr>
        <w:t xml:space="preserve"> of the parties, and without due process</w:t>
      </w:r>
      <w:r w:rsidR="009128FF">
        <w:rPr>
          <w:rFonts w:eastAsia="Times New Roman" w:cstheme="minorHAnsi"/>
          <w:sz w:val="24"/>
          <w:szCs w:val="24"/>
        </w:rPr>
        <w:t>, t</w:t>
      </w:r>
      <w:r w:rsidRPr="00983EB2">
        <w:rPr>
          <w:rFonts w:eastAsia="Times New Roman" w:cstheme="minorHAnsi"/>
          <w:sz w:val="24"/>
          <w:szCs w:val="24"/>
        </w:rPr>
        <w:t xml:space="preserve">he magistrate </w:t>
      </w:r>
      <w:r w:rsidR="009128FF">
        <w:rPr>
          <w:rFonts w:eastAsia="Times New Roman" w:cstheme="minorHAnsi"/>
          <w:sz w:val="24"/>
          <w:szCs w:val="24"/>
        </w:rPr>
        <w:t xml:space="preserve">presuming to be </w:t>
      </w:r>
      <w:r w:rsidRPr="00983EB2">
        <w:rPr>
          <w:rFonts w:eastAsia="Times New Roman" w:cstheme="minorHAnsi"/>
          <w:sz w:val="24"/>
          <w:szCs w:val="24"/>
        </w:rPr>
        <w:t xml:space="preserve">the owner of the courtroom. Not satisfied with the lawful rules of court, </w:t>
      </w:r>
      <w:r w:rsidR="009128FF">
        <w:rPr>
          <w:rFonts w:eastAsia="Times New Roman" w:cstheme="minorHAnsi"/>
          <w:sz w:val="24"/>
          <w:szCs w:val="24"/>
        </w:rPr>
        <w:t>s</w:t>
      </w:r>
      <w:r w:rsidRPr="00983EB2">
        <w:rPr>
          <w:rFonts w:eastAsia="Times New Roman" w:cstheme="minorHAnsi"/>
          <w:sz w:val="24"/>
          <w:szCs w:val="24"/>
        </w:rPr>
        <w:t>he became a loose cannon and imposed rules of another jurisdiction foreign to this court</w:t>
      </w:r>
      <w:r w:rsidR="003B657F">
        <w:rPr>
          <w:rFonts w:eastAsia="Times New Roman" w:cstheme="minorHAnsi"/>
          <w:sz w:val="24"/>
          <w:szCs w:val="24"/>
        </w:rPr>
        <w:t>.</w:t>
      </w:r>
    </w:p>
    <w:p w:rsidR="004871A7" w:rsidRDefault="004871A7" w:rsidP="00FC2CF8">
      <w:pPr>
        <w:spacing w:before="100" w:beforeAutospacing="1" w:after="100" w:afterAutospacing="1" w:line="360" w:lineRule="auto"/>
        <w:jc w:val="both"/>
        <w:rPr>
          <w:rFonts w:eastAsia="Times New Roman" w:cstheme="minorHAnsi"/>
          <w:sz w:val="24"/>
          <w:szCs w:val="24"/>
        </w:rPr>
      </w:pPr>
      <w:r>
        <w:rPr>
          <w:rFonts w:eastAsia="Times New Roman" w:cstheme="minorHAnsi"/>
          <w:sz w:val="24"/>
          <w:szCs w:val="24"/>
        </w:rPr>
        <w:t>The position and pursuit of the plaintiff is not f</w:t>
      </w:r>
      <w:r w:rsidRPr="004871A7">
        <w:rPr>
          <w:rFonts w:eastAsia="Times New Roman" w:cstheme="minorHAnsi"/>
          <w:sz w:val="24"/>
          <w:szCs w:val="24"/>
        </w:rPr>
        <w:t xml:space="preserve">rivolous </w:t>
      </w:r>
      <w:r>
        <w:rPr>
          <w:rFonts w:eastAsia="Times New Roman" w:cstheme="minorHAnsi"/>
          <w:sz w:val="24"/>
          <w:szCs w:val="24"/>
        </w:rPr>
        <w:t xml:space="preserve">and is hereby </w:t>
      </w:r>
      <w:r w:rsidRPr="004871A7">
        <w:rPr>
          <w:rFonts w:eastAsia="Times New Roman" w:cstheme="minorHAnsi"/>
          <w:sz w:val="24"/>
          <w:szCs w:val="24"/>
        </w:rPr>
        <w:t>rebutted</w:t>
      </w:r>
      <w:r>
        <w:rPr>
          <w:rFonts w:eastAsia="Times New Roman" w:cstheme="minorHAnsi"/>
          <w:sz w:val="24"/>
          <w:szCs w:val="24"/>
        </w:rPr>
        <w:t xml:space="preserve">. </w:t>
      </w:r>
      <w:r w:rsidRPr="004871A7">
        <w:rPr>
          <w:rFonts w:eastAsia="Times New Roman" w:cstheme="minorHAnsi"/>
          <w:sz w:val="24"/>
          <w:szCs w:val="24"/>
        </w:rPr>
        <w:t>Generally, “frivolous” is relevantly defined as: “A claim or defense is frivolous if a proponent can present no rational argument based upon the evidence or law in support of that claim or defense</w:t>
      </w:r>
      <w:r>
        <w:rPr>
          <w:rFonts w:eastAsia="Times New Roman" w:cstheme="minorHAnsi"/>
          <w:sz w:val="24"/>
          <w:szCs w:val="24"/>
        </w:rPr>
        <w:t xml:space="preserve">. </w:t>
      </w:r>
    </w:p>
    <w:p w:rsidR="00C46969" w:rsidRDefault="00FB0904" w:rsidP="00FC2CF8">
      <w:pPr>
        <w:spacing w:before="100" w:beforeAutospacing="1" w:after="100" w:afterAutospacing="1" w:line="360" w:lineRule="auto"/>
        <w:jc w:val="both"/>
        <w:rPr>
          <w:rFonts w:eastAsia="Times New Roman" w:cstheme="minorHAnsi"/>
          <w:sz w:val="24"/>
          <w:szCs w:val="24"/>
        </w:rPr>
      </w:pPr>
      <w:r>
        <w:rPr>
          <w:rFonts w:eastAsia="Times New Roman" w:cstheme="minorHAnsi"/>
          <w:sz w:val="24"/>
          <w:szCs w:val="24"/>
        </w:rPr>
        <w:t>Contrary to Magistrate Loretta A Preska’s presumption p</w:t>
      </w:r>
      <w:r w:rsidR="006574C4">
        <w:rPr>
          <w:rFonts w:eastAsia="Times New Roman" w:cstheme="minorHAnsi"/>
          <w:sz w:val="24"/>
          <w:szCs w:val="24"/>
        </w:rPr>
        <w:t xml:space="preserve">laintiff does not seek to proceed in </w:t>
      </w:r>
      <w:r w:rsidR="006574C4" w:rsidRPr="006574C4">
        <w:rPr>
          <w:rFonts w:eastAsia="Times New Roman" w:cstheme="minorHAnsi"/>
          <w:sz w:val="24"/>
          <w:szCs w:val="24"/>
        </w:rPr>
        <w:t>forma pauperis</w:t>
      </w:r>
      <w:r w:rsidR="006574C4">
        <w:rPr>
          <w:rFonts w:eastAsia="Times New Roman" w:cstheme="minorHAnsi"/>
          <w:sz w:val="24"/>
          <w:szCs w:val="24"/>
        </w:rPr>
        <w:t xml:space="preserve"> which </w:t>
      </w:r>
      <w:r w:rsidR="001F6099">
        <w:rPr>
          <w:rFonts w:eastAsia="Times New Roman" w:cstheme="minorHAnsi"/>
          <w:sz w:val="24"/>
          <w:szCs w:val="24"/>
        </w:rPr>
        <w:t>proceeds according to the rules of chancery nor will plaintiff accept an exchange of filthy-lucre for prejudicial justice in a court of chancery.</w:t>
      </w:r>
      <w:r w:rsidR="00C46969">
        <w:rPr>
          <w:rFonts w:eastAsia="Times New Roman" w:cstheme="minorHAnsi"/>
          <w:sz w:val="24"/>
          <w:szCs w:val="24"/>
        </w:rPr>
        <w:t xml:space="preserve"> Plaintiff has opened a “court of record”, see action at law, which proceeds under the rules of common law</w:t>
      </w:r>
      <w:r w:rsidR="00610964">
        <w:rPr>
          <w:rFonts w:eastAsia="Times New Roman" w:cstheme="minorHAnsi"/>
          <w:sz w:val="24"/>
          <w:szCs w:val="24"/>
        </w:rPr>
        <w:t xml:space="preserve"> without cost</w:t>
      </w:r>
      <w:r w:rsidR="00C46969">
        <w:rPr>
          <w:rFonts w:eastAsia="Times New Roman" w:cstheme="minorHAnsi"/>
          <w:sz w:val="24"/>
          <w:szCs w:val="24"/>
        </w:rPr>
        <w:t>.</w:t>
      </w:r>
    </w:p>
    <w:p w:rsidR="00B76261" w:rsidRDefault="000B41BC" w:rsidP="00FC2CF8">
      <w:pPr>
        <w:spacing w:before="100" w:beforeAutospacing="1" w:after="100" w:afterAutospacing="1" w:line="360" w:lineRule="auto"/>
        <w:jc w:val="both"/>
        <w:rPr>
          <w:rFonts w:eastAsia="Times New Roman" w:cstheme="minorHAnsi"/>
          <w:sz w:val="24"/>
          <w:szCs w:val="24"/>
        </w:rPr>
      </w:pPr>
      <w:r>
        <w:rPr>
          <w:rFonts w:eastAsia="Times New Roman" w:cstheme="minorHAnsi"/>
          <w:sz w:val="24"/>
          <w:szCs w:val="24"/>
        </w:rPr>
        <w:t>“</w:t>
      </w:r>
      <w:r w:rsidR="00FB0904" w:rsidRPr="000B41BC">
        <w:rPr>
          <w:rFonts w:eastAsia="Times New Roman" w:cstheme="minorHAnsi"/>
          <w:i/>
          <w:sz w:val="24"/>
          <w:szCs w:val="24"/>
        </w:rPr>
        <w:t xml:space="preserve">The U.S. Supreme Court has ruled that a natural man or woman is entitled to relief for free access to its judicial tribunals and public offices in every State in the Union </w:t>
      </w:r>
      <w:r w:rsidR="00FB0904" w:rsidRPr="00C46969">
        <w:rPr>
          <w:rFonts w:eastAsia="Times New Roman" w:cstheme="minorHAnsi"/>
          <w:sz w:val="24"/>
          <w:szCs w:val="24"/>
        </w:rPr>
        <w:t>(2 Black 620, see also Crandell v. Nevada, 6 Wall 35)</w:t>
      </w:r>
      <w:r w:rsidR="00FB0904" w:rsidRPr="000B41BC">
        <w:rPr>
          <w:rFonts w:eastAsia="Times New Roman" w:cstheme="minorHAnsi"/>
          <w:i/>
          <w:sz w:val="24"/>
          <w:szCs w:val="24"/>
        </w:rPr>
        <w:t xml:space="preserve">. Plaintiff should not be charged fees, or costs for the lawful </w:t>
      </w:r>
      <w:r w:rsidR="00FB0904" w:rsidRPr="000B41BC">
        <w:rPr>
          <w:rFonts w:eastAsia="Times New Roman" w:cstheme="minorHAnsi"/>
          <w:i/>
          <w:sz w:val="24"/>
          <w:szCs w:val="24"/>
        </w:rPr>
        <w:lastRenderedPageBreak/>
        <w:t>and constitutional right to petition this court in this matter in which he is entitled to relief, as it appears that the filing fee rule was originally implemented for fictions and subjects of the State and should not be applied to the Plaintiff who is a natural individual and entitled to relief</w:t>
      </w:r>
      <w:r>
        <w:rPr>
          <w:rFonts w:eastAsia="Times New Roman" w:cstheme="minorHAnsi"/>
          <w:sz w:val="24"/>
          <w:szCs w:val="24"/>
        </w:rPr>
        <w:t>”</w:t>
      </w:r>
      <w:r w:rsidR="00FB0904">
        <w:rPr>
          <w:rFonts w:eastAsia="Times New Roman" w:cstheme="minorHAnsi"/>
          <w:sz w:val="24"/>
          <w:szCs w:val="24"/>
        </w:rPr>
        <w:t xml:space="preserve"> </w:t>
      </w:r>
      <w:r w:rsidR="00771292">
        <w:rPr>
          <w:rFonts w:eastAsia="Times New Roman" w:cstheme="minorHAnsi"/>
          <w:sz w:val="24"/>
          <w:szCs w:val="24"/>
        </w:rPr>
        <w:t xml:space="preserve">- </w:t>
      </w:r>
      <w:r w:rsidR="00FB0904" w:rsidRPr="00FB0904">
        <w:rPr>
          <w:rFonts w:eastAsia="Times New Roman" w:cstheme="minorHAnsi"/>
          <w:sz w:val="24"/>
          <w:szCs w:val="24"/>
        </w:rPr>
        <w:t>Hale v. Henkel</w:t>
      </w:r>
      <w:r w:rsidR="000501CA">
        <w:rPr>
          <w:rFonts w:eastAsia="Times New Roman" w:cstheme="minorHAnsi"/>
          <w:sz w:val="24"/>
          <w:szCs w:val="24"/>
        </w:rPr>
        <w:t>;</w:t>
      </w:r>
      <w:r w:rsidR="00FB0904" w:rsidRPr="00FB0904">
        <w:rPr>
          <w:rFonts w:eastAsia="Times New Roman" w:cstheme="minorHAnsi"/>
          <w:sz w:val="24"/>
          <w:szCs w:val="24"/>
        </w:rPr>
        <w:t xml:space="preserve"> 201 U.S. 43</w:t>
      </w:r>
      <w:r w:rsidR="00771292">
        <w:rPr>
          <w:rFonts w:eastAsia="Times New Roman" w:cstheme="minorHAnsi"/>
          <w:sz w:val="24"/>
          <w:szCs w:val="24"/>
        </w:rPr>
        <w:t xml:space="preserve">. </w:t>
      </w:r>
      <w:r w:rsidR="00FB0904">
        <w:rPr>
          <w:rFonts w:eastAsia="Times New Roman" w:cstheme="minorHAnsi"/>
          <w:sz w:val="24"/>
          <w:szCs w:val="24"/>
        </w:rPr>
        <w:t xml:space="preserve">Plaintiff is neither a </w:t>
      </w:r>
      <w:r w:rsidR="00FB0904" w:rsidRPr="00FB0904">
        <w:rPr>
          <w:rFonts w:eastAsia="Times New Roman" w:cstheme="minorHAnsi"/>
          <w:sz w:val="24"/>
          <w:szCs w:val="24"/>
        </w:rPr>
        <w:t xml:space="preserve">fiction </w:t>
      </w:r>
      <w:r w:rsidR="00FB0904">
        <w:rPr>
          <w:rFonts w:eastAsia="Times New Roman" w:cstheme="minorHAnsi"/>
          <w:sz w:val="24"/>
          <w:szCs w:val="24"/>
        </w:rPr>
        <w:t>nor a</w:t>
      </w:r>
      <w:r w:rsidR="00FB0904" w:rsidRPr="00FB0904">
        <w:rPr>
          <w:rFonts w:eastAsia="Times New Roman" w:cstheme="minorHAnsi"/>
          <w:sz w:val="24"/>
          <w:szCs w:val="24"/>
        </w:rPr>
        <w:t xml:space="preserve"> subject</w:t>
      </w:r>
      <w:r w:rsidR="00FB0904">
        <w:rPr>
          <w:rFonts w:eastAsia="Times New Roman" w:cstheme="minorHAnsi"/>
          <w:sz w:val="24"/>
          <w:szCs w:val="24"/>
        </w:rPr>
        <w:t>,</w:t>
      </w:r>
      <w:r w:rsidR="00FB0904">
        <w:rPr>
          <w:rStyle w:val="FootnoteReference"/>
          <w:rFonts w:eastAsia="Times New Roman" w:cstheme="minorHAnsi"/>
          <w:sz w:val="24"/>
          <w:szCs w:val="24"/>
        </w:rPr>
        <w:footnoteReference w:id="7"/>
      </w:r>
      <w:r w:rsidR="00FB0904">
        <w:rPr>
          <w:rFonts w:eastAsia="Times New Roman" w:cstheme="minorHAnsi"/>
          <w:sz w:val="24"/>
          <w:szCs w:val="24"/>
        </w:rPr>
        <w:t xml:space="preserve"> </w:t>
      </w:r>
      <w:r w:rsidR="002B2E57">
        <w:rPr>
          <w:rFonts w:eastAsia="Times New Roman" w:cstheme="minorHAnsi"/>
          <w:sz w:val="24"/>
          <w:szCs w:val="24"/>
        </w:rPr>
        <w:t xml:space="preserve">as is an elected or appointed official </w:t>
      </w:r>
      <w:r w:rsidR="002B2E57" w:rsidRPr="002B2E57">
        <w:rPr>
          <w:rFonts w:eastAsia="Times New Roman" w:cstheme="minorHAnsi"/>
          <w:sz w:val="24"/>
          <w:szCs w:val="24"/>
        </w:rPr>
        <w:t>ow</w:t>
      </w:r>
      <w:r w:rsidR="002B2E57">
        <w:rPr>
          <w:rFonts w:eastAsia="Times New Roman" w:cstheme="minorHAnsi"/>
          <w:sz w:val="24"/>
          <w:szCs w:val="24"/>
        </w:rPr>
        <w:t>ing</w:t>
      </w:r>
      <w:r w:rsidR="002B2E57" w:rsidRPr="002B2E57">
        <w:rPr>
          <w:rFonts w:eastAsia="Times New Roman" w:cstheme="minorHAnsi"/>
          <w:sz w:val="24"/>
          <w:szCs w:val="24"/>
        </w:rPr>
        <w:t xml:space="preserve"> allegiance to </w:t>
      </w:r>
      <w:r w:rsidR="002B2E57">
        <w:rPr>
          <w:rFonts w:eastAsia="Times New Roman" w:cstheme="minorHAnsi"/>
          <w:sz w:val="24"/>
          <w:szCs w:val="24"/>
        </w:rPr>
        <w:t>the</w:t>
      </w:r>
      <w:r w:rsidR="002B2E57" w:rsidRPr="002B2E57">
        <w:rPr>
          <w:rFonts w:eastAsia="Times New Roman" w:cstheme="minorHAnsi"/>
          <w:sz w:val="24"/>
          <w:szCs w:val="24"/>
        </w:rPr>
        <w:t xml:space="preserve"> sovereign </w:t>
      </w:r>
      <w:r w:rsidR="002B2E57">
        <w:rPr>
          <w:rFonts w:eastAsia="Times New Roman" w:cstheme="minorHAnsi"/>
          <w:sz w:val="24"/>
          <w:szCs w:val="24"/>
        </w:rPr>
        <w:t xml:space="preserve">people of the </w:t>
      </w:r>
      <w:r w:rsidR="00C46969">
        <w:rPr>
          <w:rFonts w:eastAsia="Times New Roman" w:cstheme="minorHAnsi"/>
          <w:sz w:val="24"/>
          <w:szCs w:val="24"/>
        </w:rPr>
        <w:t xml:space="preserve">fifty </w:t>
      </w:r>
      <w:r w:rsidR="002B2E57">
        <w:rPr>
          <w:rFonts w:eastAsia="Times New Roman" w:cstheme="minorHAnsi"/>
          <w:sz w:val="24"/>
          <w:szCs w:val="24"/>
        </w:rPr>
        <w:t>united States. P</w:t>
      </w:r>
      <w:r w:rsidR="00FB0904">
        <w:rPr>
          <w:rFonts w:eastAsia="Times New Roman" w:cstheme="minorHAnsi"/>
          <w:sz w:val="24"/>
          <w:szCs w:val="24"/>
        </w:rPr>
        <w:t xml:space="preserve">laintiff is one of the People of New York subject to no laws </w:t>
      </w:r>
      <w:r w:rsidR="00B76261" w:rsidRPr="00B76261">
        <w:rPr>
          <w:rFonts w:eastAsia="Times New Roman" w:cstheme="minorHAnsi"/>
          <w:sz w:val="24"/>
          <w:szCs w:val="24"/>
        </w:rPr>
        <w:t>except those prescribed by nature</w:t>
      </w:r>
      <w:r w:rsidR="00B76261">
        <w:rPr>
          <w:rFonts w:eastAsia="Times New Roman" w:cstheme="minorHAnsi"/>
          <w:sz w:val="24"/>
          <w:szCs w:val="24"/>
        </w:rPr>
        <w:t>.</w:t>
      </w:r>
      <w:r w:rsidR="00B76261">
        <w:rPr>
          <w:rStyle w:val="FootnoteReference"/>
          <w:rFonts w:eastAsia="Times New Roman" w:cstheme="minorHAnsi"/>
          <w:sz w:val="24"/>
          <w:szCs w:val="24"/>
        </w:rPr>
        <w:footnoteReference w:id="8"/>
      </w:r>
    </w:p>
    <w:p w:rsidR="00771292" w:rsidRDefault="00B76261" w:rsidP="00FC2CF8">
      <w:pPr>
        <w:pStyle w:val="ListParagraph"/>
        <w:numPr>
          <w:ilvl w:val="0"/>
          <w:numId w:val="1"/>
        </w:numPr>
        <w:spacing w:before="100" w:beforeAutospacing="1" w:after="100" w:afterAutospacing="1" w:line="360" w:lineRule="auto"/>
        <w:jc w:val="both"/>
        <w:rPr>
          <w:rFonts w:eastAsia="Times New Roman" w:cstheme="minorHAnsi"/>
          <w:sz w:val="24"/>
          <w:szCs w:val="24"/>
        </w:rPr>
      </w:pPr>
      <w:r>
        <w:rPr>
          <w:rFonts w:eastAsia="Times New Roman" w:cstheme="minorHAnsi"/>
          <w:sz w:val="24"/>
          <w:szCs w:val="24"/>
        </w:rPr>
        <w:t>“</w:t>
      </w:r>
      <w:r w:rsidR="002B2E57" w:rsidRPr="00B76261">
        <w:rPr>
          <w:rFonts w:eastAsia="Times New Roman" w:cstheme="minorHAnsi"/>
          <w:i/>
          <w:sz w:val="24"/>
          <w:szCs w:val="24"/>
        </w:rPr>
        <w:t>Rights indirectly denied - "Constitutional 'rights' would be of little value if they could be indirectly denied</w:t>
      </w:r>
      <w:r w:rsidR="002B2E57" w:rsidRPr="00771292">
        <w:rPr>
          <w:rFonts w:eastAsia="Times New Roman" w:cstheme="minorHAnsi"/>
          <w:sz w:val="24"/>
          <w:szCs w:val="24"/>
        </w:rPr>
        <w:t>."</w:t>
      </w:r>
      <w:r w:rsidR="00771292" w:rsidRPr="00771292">
        <w:rPr>
          <w:rFonts w:eastAsia="Times New Roman" w:cstheme="minorHAnsi"/>
          <w:sz w:val="24"/>
          <w:szCs w:val="24"/>
        </w:rPr>
        <w:t xml:space="preserve"> -</w:t>
      </w:r>
      <w:r w:rsidR="002B2E57" w:rsidRPr="00771292">
        <w:rPr>
          <w:rFonts w:eastAsia="Times New Roman" w:cstheme="minorHAnsi"/>
          <w:sz w:val="24"/>
          <w:szCs w:val="24"/>
        </w:rPr>
        <w:t xml:space="preserve"> Gomillion v. Lightfoot, 364 U.S. 155 (1966), cited also in Smith v. Allwright, 321 U.S. 649.644</w:t>
      </w:r>
      <w:r w:rsidR="00771292" w:rsidRPr="00771292">
        <w:rPr>
          <w:rFonts w:eastAsia="Times New Roman" w:cstheme="minorHAnsi"/>
          <w:sz w:val="24"/>
          <w:szCs w:val="24"/>
        </w:rPr>
        <w:t>.</w:t>
      </w:r>
    </w:p>
    <w:p w:rsidR="00771292" w:rsidRDefault="00B76261" w:rsidP="00FC2CF8">
      <w:pPr>
        <w:pStyle w:val="ListParagraph"/>
        <w:numPr>
          <w:ilvl w:val="0"/>
          <w:numId w:val="1"/>
        </w:numPr>
        <w:spacing w:before="100" w:beforeAutospacing="1" w:after="100" w:afterAutospacing="1" w:line="360" w:lineRule="auto"/>
        <w:jc w:val="both"/>
        <w:rPr>
          <w:rFonts w:eastAsia="Times New Roman" w:cstheme="minorHAnsi"/>
          <w:sz w:val="24"/>
          <w:szCs w:val="24"/>
        </w:rPr>
      </w:pPr>
      <w:r>
        <w:rPr>
          <w:rFonts w:eastAsia="Times New Roman" w:cstheme="minorHAnsi"/>
          <w:sz w:val="24"/>
          <w:szCs w:val="24"/>
        </w:rPr>
        <w:t>“</w:t>
      </w:r>
      <w:r w:rsidR="002B2E57" w:rsidRPr="00B76261">
        <w:rPr>
          <w:rFonts w:eastAsia="Times New Roman" w:cstheme="minorHAnsi"/>
          <w:i/>
          <w:sz w:val="24"/>
          <w:szCs w:val="24"/>
        </w:rPr>
        <w:t>There can be no sanction or penalty imposed upon one because of his exercise of Constitution rights</w:t>
      </w:r>
      <w:r w:rsidR="002B2E57" w:rsidRPr="00771292">
        <w:rPr>
          <w:rFonts w:eastAsia="Times New Roman" w:cstheme="minorHAnsi"/>
          <w:sz w:val="24"/>
          <w:szCs w:val="24"/>
        </w:rPr>
        <w:t>.</w:t>
      </w:r>
      <w:r>
        <w:rPr>
          <w:rFonts w:eastAsia="Times New Roman" w:cstheme="minorHAnsi"/>
          <w:sz w:val="24"/>
          <w:szCs w:val="24"/>
        </w:rPr>
        <w:t>”</w:t>
      </w:r>
      <w:r w:rsidR="00771292" w:rsidRPr="00771292">
        <w:rPr>
          <w:rFonts w:eastAsia="Times New Roman" w:cstheme="minorHAnsi"/>
          <w:sz w:val="24"/>
          <w:szCs w:val="24"/>
        </w:rPr>
        <w:t xml:space="preserve"> -</w:t>
      </w:r>
      <w:r w:rsidR="002B2E57" w:rsidRPr="00771292">
        <w:rPr>
          <w:rFonts w:eastAsia="Times New Roman" w:cstheme="minorHAnsi"/>
          <w:sz w:val="24"/>
          <w:szCs w:val="24"/>
        </w:rPr>
        <w:t xml:space="preserve"> Sherar vs. Cullen 481 F 2D 946, (1973).</w:t>
      </w:r>
    </w:p>
    <w:p w:rsidR="00771292" w:rsidRDefault="00771292" w:rsidP="00FC2CF8">
      <w:pPr>
        <w:pStyle w:val="ListParagraph"/>
        <w:numPr>
          <w:ilvl w:val="0"/>
          <w:numId w:val="1"/>
        </w:numPr>
        <w:spacing w:before="100" w:beforeAutospacing="1" w:after="100" w:afterAutospacing="1" w:line="360" w:lineRule="auto"/>
        <w:jc w:val="both"/>
        <w:rPr>
          <w:rFonts w:eastAsia="Times New Roman" w:cstheme="minorHAnsi"/>
          <w:sz w:val="24"/>
          <w:szCs w:val="24"/>
        </w:rPr>
      </w:pPr>
      <w:r w:rsidRPr="00771292">
        <w:rPr>
          <w:rFonts w:eastAsia="Times New Roman" w:cstheme="minorHAnsi"/>
          <w:sz w:val="24"/>
          <w:szCs w:val="24"/>
        </w:rPr>
        <w:t>"</w:t>
      </w:r>
      <w:r w:rsidRPr="00B76261">
        <w:rPr>
          <w:rFonts w:eastAsia="Times New Roman" w:cstheme="minorHAnsi"/>
          <w:i/>
          <w:sz w:val="24"/>
          <w:szCs w:val="24"/>
        </w:rPr>
        <w:t>No state shall convert a liberty into a license, and charge a fee therefore</w:t>
      </w:r>
      <w:r w:rsidRPr="00771292">
        <w:rPr>
          <w:rFonts w:eastAsia="Times New Roman" w:cstheme="minorHAnsi"/>
          <w:sz w:val="24"/>
          <w:szCs w:val="24"/>
        </w:rPr>
        <w:t>." Murdock v. Pennsylvania, 319 U.S. 105.</w:t>
      </w:r>
    </w:p>
    <w:p w:rsidR="00771292" w:rsidRPr="00771292" w:rsidRDefault="00771292" w:rsidP="00FC2CF8">
      <w:pPr>
        <w:pStyle w:val="ListParagraph"/>
        <w:numPr>
          <w:ilvl w:val="0"/>
          <w:numId w:val="1"/>
        </w:numPr>
        <w:spacing w:before="100" w:beforeAutospacing="1" w:after="100" w:afterAutospacing="1" w:line="360" w:lineRule="auto"/>
        <w:jc w:val="both"/>
        <w:rPr>
          <w:rFonts w:eastAsia="Times New Roman" w:cstheme="minorHAnsi"/>
          <w:sz w:val="24"/>
          <w:szCs w:val="24"/>
        </w:rPr>
      </w:pPr>
      <w:r w:rsidRPr="00771292">
        <w:rPr>
          <w:rFonts w:eastAsia="Times New Roman" w:cstheme="minorHAnsi"/>
          <w:sz w:val="24"/>
          <w:szCs w:val="24"/>
        </w:rPr>
        <w:t>"</w:t>
      </w:r>
      <w:r w:rsidRPr="00B76261">
        <w:rPr>
          <w:rFonts w:eastAsia="Times New Roman" w:cstheme="minorHAnsi"/>
          <w:i/>
          <w:sz w:val="24"/>
          <w:szCs w:val="24"/>
        </w:rPr>
        <w:t>If the State converts a right (liberty) into a privilege, the citizen can ignore the license and fee and engage in the right (liberty) with impunity</w:t>
      </w:r>
      <w:r w:rsidRPr="00771292">
        <w:rPr>
          <w:rFonts w:eastAsia="Times New Roman" w:cstheme="minorHAnsi"/>
          <w:sz w:val="24"/>
          <w:szCs w:val="24"/>
        </w:rPr>
        <w:t>." [Shuttlesworth v. City of Birmingham, Alabama, 373 U.S. 262]</w:t>
      </w:r>
    </w:p>
    <w:p w:rsidR="00771292" w:rsidRDefault="00771292" w:rsidP="00FC2CF8">
      <w:pPr>
        <w:spacing w:before="100" w:beforeAutospacing="1" w:after="100" w:afterAutospacing="1" w:line="360" w:lineRule="auto"/>
        <w:jc w:val="both"/>
        <w:rPr>
          <w:rFonts w:eastAsia="Times New Roman" w:cstheme="minorHAnsi"/>
          <w:sz w:val="24"/>
          <w:szCs w:val="24"/>
        </w:rPr>
      </w:pPr>
      <w:r w:rsidRPr="00E36E00">
        <w:rPr>
          <w:rFonts w:eastAsia="Times New Roman" w:cstheme="minorHAnsi"/>
          <w:b/>
          <w:sz w:val="24"/>
          <w:szCs w:val="24"/>
        </w:rPr>
        <w:t>American Jurisprudence (Constitutional Law) §326</w:t>
      </w:r>
      <w:r w:rsidR="00C46969" w:rsidRPr="00E36E00">
        <w:rPr>
          <w:rFonts w:eastAsia="Times New Roman" w:cstheme="minorHAnsi"/>
          <w:b/>
          <w:sz w:val="24"/>
          <w:szCs w:val="24"/>
        </w:rPr>
        <w:t>;</w:t>
      </w:r>
      <w:r w:rsidRPr="00E36E00">
        <w:rPr>
          <w:rFonts w:eastAsia="Times New Roman" w:cstheme="minorHAnsi"/>
          <w:b/>
          <w:sz w:val="24"/>
          <w:szCs w:val="24"/>
        </w:rPr>
        <w:t xml:space="preserve"> Free Justice and Open Courts;</w:t>
      </w:r>
      <w:r w:rsidRPr="00771292">
        <w:rPr>
          <w:rFonts w:eastAsia="Times New Roman" w:cstheme="minorHAnsi"/>
          <w:sz w:val="24"/>
          <w:szCs w:val="24"/>
        </w:rPr>
        <w:t xml:space="preserve"> </w:t>
      </w:r>
      <w:r w:rsidRPr="00E36E00">
        <w:rPr>
          <w:rFonts w:eastAsia="Times New Roman" w:cstheme="minorHAnsi"/>
          <w:i/>
          <w:sz w:val="24"/>
          <w:szCs w:val="24"/>
        </w:rPr>
        <w:t xml:space="preserve">Remedy for All Injuries.- In most of the state Constitutions there are provisions, varying slightly in terms, which stipulate that justice shall be administered to all without delay or denial, without sale or prejudice, and that the courts shall always be open to all alike. These provisions are based largely upon the Magna Charta, chap. 40, which provides; “We will sell to no man. We will not deny to any man either justice or right.” The chief purpose of the Magna Charta provision was to prohibit the King from selling justice by imposing fees on litigants through his courts and to deal a death blow to the attendant venal and disgraceful practices of a corrupt judiciary in demanding oppressive gratuities for giving or withholding decisions in pending causes. It has been appropriately said that in a free government the doors of litigation are already wide open and must constantly remain so. The extent of the constitutional provision has been regarded as broader than the original confines of Magna Charta, and such constitutional </w:t>
      </w:r>
      <w:r w:rsidRPr="00E36E00">
        <w:rPr>
          <w:rFonts w:eastAsia="Times New Roman" w:cstheme="minorHAnsi"/>
          <w:i/>
          <w:sz w:val="24"/>
          <w:szCs w:val="24"/>
        </w:rPr>
        <w:lastRenderedPageBreak/>
        <w:t>provision has been held to prohibit the selling of justice not merely by magistrates but by the State itself</w:t>
      </w:r>
      <w:r w:rsidRPr="00771292">
        <w:rPr>
          <w:rFonts w:eastAsia="Times New Roman" w:cstheme="minorHAnsi"/>
          <w:sz w:val="24"/>
          <w:szCs w:val="24"/>
        </w:rPr>
        <w:t>.</w:t>
      </w:r>
      <w:r w:rsidR="00BD769B">
        <w:rPr>
          <w:rFonts w:eastAsia="Times New Roman" w:cstheme="minorHAnsi"/>
          <w:sz w:val="24"/>
          <w:szCs w:val="24"/>
        </w:rPr>
        <w:t xml:space="preserve"> </w:t>
      </w:r>
      <w:r>
        <w:rPr>
          <w:rFonts w:eastAsia="Times New Roman" w:cstheme="minorHAnsi"/>
          <w:sz w:val="24"/>
          <w:szCs w:val="24"/>
        </w:rPr>
        <w:t xml:space="preserve">Therefor a denial of access into the Peoples courts’ of justice for </w:t>
      </w:r>
      <w:r w:rsidR="00B374A0">
        <w:rPr>
          <w:rFonts w:eastAsia="Times New Roman" w:cstheme="minorHAnsi"/>
          <w:sz w:val="24"/>
          <w:szCs w:val="24"/>
        </w:rPr>
        <w:t>refusing</w:t>
      </w:r>
      <w:r>
        <w:rPr>
          <w:rFonts w:eastAsia="Times New Roman" w:cstheme="minorHAnsi"/>
          <w:sz w:val="24"/>
          <w:szCs w:val="24"/>
        </w:rPr>
        <w:t xml:space="preserve"> to pay a fee wo</w:t>
      </w:r>
      <w:r w:rsidR="000B41BC">
        <w:rPr>
          <w:rFonts w:eastAsia="Times New Roman" w:cstheme="minorHAnsi"/>
          <w:sz w:val="24"/>
          <w:szCs w:val="24"/>
        </w:rPr>
        <w:t>u</w:t>
      </w:r>
      <w:r>
        <w:rPr>
          <w:rFonts w:eastAsia="Times New Roman" w:cstheme="minorHAnsi"/>
          <w:sz w:val="24"/>
          <w:szCs w:val="24"/>
        </w:rPr>
        <w:t xml:space="preserve">ld be a violation of </w:t>
      </w:r>
      <w:r w:rsidR="00E36E00">
        <w:rPr>
          <w:rFonts w:eastAsia="Times New Roman" w:cstheme="minorHAnsi"/>
          <w:sz w:val="24"/>
          <w:szCs w:val="24"/>
        </w:rPr>
        <w:t>plaintiff’s</w:t>
      </w:r>
      <w:r>
        <w:rPr>
          <w:rFonts w:eastAsia="Times New Roman" w:cstheme="minorHAnsi"/>
          <w:sz w:val="24"/>
          <w:szCs w:val="24"/>
        </w:rPr>
        <w:t xml:space="preserve"> unalienable </w:t>
      </w:r>
      <w:r w:rsidR="000B41BC">
        <w:rPr>
          <w:rFonts w:eastAsia="Times New Roman" w:cstheme="minorHAnsi"/>
          <w:sz w:val="24"/>
          <w:szCs w:val="24"/>
        </w:rPr>
        <w:t>right of due process protected under V Amendment.</w:t>
      </w:r>
    </w:p>
    <w:p w:rsidR="00FC2CF8" w:rsidRPr="00FC2CF8" w:rsidRDefault="00FC2CF8" w:rsidP="00FC2CF8">
      <w:pPr>
        <w:spacing w:before="100" w:beforeAutospacing="1" w:after="100" w:afterAutospacing="1" w:line="360" w:lineRule="auto"/>
        <w:jc w:val="both"/>
        <w:rPr>
          <w:rFonts w:eastAsia="Times New Roman" w:cstheme="minorHAnsi"/>
          <w:sz w:val="24"/>
          <w:szCs w:val="24"/>
        </w:rPr>
      </w:pPr>
      <w:r w:rsidRPr="00FC2CF8">
        <w:rPr>
          <w:rFonts w:eastAsia="Times New Roman" w:cstheme="minorHAnsi"/>
          <w:sz w:val="24"/>
          <w:szCs w:val="24"/>
        </w:rPr>
        <w:t>Furthermore plaintiff does not bring this action pro se as is the process under fiction but in pro per.</w:t>
      </w:r>
      <w:r>
        <w:rPr>
          <w:rFonts w:eastAsia="Times New Roman" w:cstheme="minorHAnsi"/>
          <w:sz w:val="24"/>
          <w:szCs w:val="24"/>
        </w:rPr>
        <w:t xml:space="preserve"> </w:t>
      </w:r>
      <w:r w:rsidRPr="00FC2CF8">
        <w:rPr>
          <w:sz w:val="24"/>
          <w:szCs w:val="24"/>
        </w:rPr>
        <w:t>Most legal dictionaries define the term "pro se" as someone who represents them self. Black's Law 4th edition defines it "in person", therefore we used the term "in pro per", in that capacity we accept the term "pro se" not to be confused with one representing their fiction whereby the jurisdictional fraud might be assumed and statutes applied as a subject.</w:t>
      </w:r>
    </w:p>
    <w:p w:rsidR="00983EB2" w:rsidRDefault="003B657F" w:rsidP="00FC2CF8">
      <w:pPr>
        <w:spacing w:before="100" w:beforeAutospacing="1" w:after="100" w:afterAutospacing="1" w:line="360" w:lineRule="auto"/>
        <w:jc w:val="both"/>
        <w:rPr>
          <w:rFonts w:eastAsia="Times New Roman" w:cstheme="minorHAnsi"/>
          <w:sz w:val="24"/>
          <w:szCs w:val="24"/>
        </w:rPr>
      </w:pPr>
      <w:r w:rsidRPr="00FC2CF8">
        <w:rPr>
          <w:rFonts w:eastAsia="Times New Roman" w:cstheme="minorHAnsi"/>
          <w:sz w:val="24"/>
          <w:szCs w:val="24"/>
        </w:rPr>
        <w:t>W</w:t>
      </w:r>
      <w:r w:rsidR="00983EB2" w:rsidRPr="00983EB2">
        <w:rPr>
          <w:rFonts w:eastAsia="Times New Roman" w:cstheme="minorHAnsi"/>
          <w:sz w:val="24"/>
          <w:szCs w:val="24"/>
        </w:rPr>
        <w:t>ithout proper authority, the magistrate stepped out of h</w:t>
      </w:r>
      <w:r w:rsidRPr="00FC2CF8">
        <w:rPr>
          <w:rFonts w:eastAsia="Times New Roman" w:cstheme="minorHAnsi"/>
          <w:sz w:val="24"/>
          <w:szCs w:val="24"/>
        </w:rPr>
        <w:t>er</w:t>
      </w:r>
      <w:r w:rsidR="00983EB2" w:rsidRPr="00983EB2">
        <w:rPr>
          <w:rFonts w:eastAsia="Times New Roman" w:cstheme="minorHAnsi"/>
          <w:sz w:val="24"/>
          <w:szCs w:val="24"/>
        </w:rPr>
        <w:t xml:space="preserve"> function as a magistrate and, by h</w:t>
      </w:r>
      <w:r w:rsidRPr="00FC2CF8">
        <w:rPr>
          <w:rFonts w:eastAsia="Times New Roman" w:cstheme="minorHAnsi"/>
          <w:sz w:val="24"/>
          <w:szCs w:val="24"/>
        </w:rPr>
        <w:t>er</w:t>
      </w:r>
      <w:r w:rsidR="00983EB2" w:rsidRPr="00983EB2">
        <w:rPr>
          <w:rFonts w:eastAsia="Times New Roman" w:cstheme="minorHAnsi"/>
          <w:sz w:val="24"/>
          <w:szCs w:val="24"/>
        </w:rPr>
        <w:t xml:space="preserve"> actions and statements, figuratively assumed the cloak of a tribunal.</w:t>
      </w:r>
      <w:r w:rsidR="008549DA">
        <w:rPr>
          <w:rStyle w:val="FootnoteReference"/>
          <w:rFonts w:eastAsia="Times New Roman" w:cstheme="minorHAnsi"/>
          <w:sz w:val="24"/>
          <w:szCs w:val="24"/>
        </w:rPr>
        <w:footnoteReference w:id="9"/>
      </w:r>
    </w:p>
    <w:p w:rsidR="00103642" w:rsidRPr="00983EB2" w:rsidRDefault="00103642" w:rsidP="00103642">
      <w:pPr>
        <w:spacing w:before="100" w:beforeAutospacing="1" w:after="100" w:afterAutospacing="1" w:line="360" w:lineRule="auto"/>
        <w:ind w:left="720" w:right="720"/>
        <w:jc w:val="both"/>
        <w:rPr>
          <w:rFonts w:eastAsia="Times New Roman" w:cstheme="minorHAnsi"/>
          <w:sz w:val="24"/>
          <w:szCs w:val="24"/>
        </w:rPr>
      </w:pPr>
      <w:r>
        <w:rPr>
          <w:rFonts w:eastAsia="Times New Roman" w:cstheme="minorHAnsi"/>
          <w:sz w:val="24"/>
          <w:szCs w:val="24"/>
        </w:rPr>
        <w:t>“</w:t>
      </w:r>
      <w:r w:rsidRPr="00103642">
        <w:rPr>
          <w:rFonts w:eastAsia="Times New Roman" w:cstheme="minorHAnsi"/>
          <w:i/>
          <w:sz w:val="24"/>
          <w:szCs w:val="24"/>
        </w:rPr>
        <w:t>Henceforth the writ which is called Praecipe shall not be served on any one for any holding so as to cause a free man to lose his court</w:t>
      </w:r>
      <w:r w:rsidRPr="00103642">
        <w:rPr>
          <w:rFonts w:eastAsia="Times New Roman" w:cstheme="minorHAnsi"/>
          <w:sz w:val="24"/>
          <w:szCs w:val="24"/>
        </w:rPr>
        <w:t>.</w:t>
      </w:r>
      <w:r>
        <w:rPr>
          <w:rFonts w:eastAsia="Times New Roman" w:cstheme="minorHAnsi"/>
          <w:sz w:val="24"/>
          <w:szCs w:val="24"/>
        </w:rPr>
        <w:t>”</w:t>
      </w:r>
      <w:r w:rsidRPr="00103642">
        <w:rPr>
          <w:rFonts w:eastAsia="Times New Roman" w:cstheme="minorHAnsi"/>
          <w:sz w:val="24"/>
          <w:szCs w:val="24"/>
        </w:rPr>
        <w:t xml:space="preserve"> Magna Carta, Article 34</w:t>
      </w:r>
    </w:p>
    <w:p w:rsidR="00983EB2" w:rsidRPr="00983EB2" w:rsidRDefault="00983EB2" w:rsidP="00FC2CF8">
      <w:pPr>
        <w:spacing w:before="100" w:beforeAutospacing="1" w:after="100" w:afterAutospacing="1" w:line="360" w:lineRule="auto"/>
        <w:jc w:val="both"/>
        <w:rPr>
          <w:rFonts w:eastAsia="Times New Roman" w:cstheme="minorHAnsi"/>
          <w:sz w:val="24"/>
          <w:szCs w:val="24"/>
        </w:rPr>
      </w:pPr>
      <w:r w:rsidRPr="00983EB2">
        <w:rPr>
          <w:rFonts w:eastAsia="Times New Roman" w:cstheme="minorHAnsi"/>
          <w:sz w:val="24"/>
          <w:szCs w:val="24"/>
        </w:rPr>
        <w:t>The genius of a court of record is not to be undermined. It is the birthright of every American to settle issues in a court of record, if he so chooses.</w:t>
      </w:r>
    </w:p>
    <w:p w:rsidR="00983EB2" w:rsidRDefault="00983EB2" w:rsidP="00FC2CF8">
      <w:pPr>
        <w:spacing w:before="100" w:beforeAutospacing="1" w:after="100" w:afterAutospacing="1" w:line="360" w:lineRule="auto"/>
        <w:jc w:val="both"/>
        <w:rPr>
          <w:rFonts w:eastAsia="Times New Roman" w:cstheme="minorHAnsi"/>
          <w:sz w:val="24"/>
          <w:szCs w:val="24"/>
        </w:rPr>
      </w:pPr>
      <w:r w:rsidRPr="00983EB2">
        <w:rPr>
          <w:rFonts w:eastAsia="Times New Roman" w:cstheme="minorHAnsi"/>
          <w:sz w:val="24"/>
          <w:szCs w:val="24"/>
        </w:rPr>
        <w:t xml:space="preserve">Throughout the </w:t>
      </w:r>
      <w:r w:rsidR="002E6462">
        <w:rPr>
          <w:rFonts w:eastAsia="Times New Roman" w:cstheme="minorHAnsi"/>
          <w:sz w:val="24"/>
          <w:szCs w:val="24"/>
        </w:rPr>
        <w:t>order</w:t>
      </w:r>
      <w:r w:rsidRPr="00983EB2">
        <w:rPr>
          <w:rFonts w:eastAsia="Times New Roman" w:cstheme="minorHAnsi"/>
          <w:sz w:val="24"/>
          <w:szCs w:val="24"/>
        </w:rPr>
        <w:t xml:space="preserve">, the record shows that the rules of the court were not followed, that the magistrate attempted to function as a tribunal, and that the court was ineffective in furthering the goal of justice for all. These failures to follow the prescribed procedures are sufficiently disruptive to the goal of providing fair justice that the court finds it necessary to issue a writ of error quae coram nobis </w:t>
      </w:r>
      <w:r w:rsidR="000F44F1" w:rsidRPr="00983EB2">
        <w:rPr>
          <w:rFonts w:eastAsia="Times New Roman" w:cstheme="minorHAnsi"/>
          <w:sz w:val="24"/>
          <w:szCs w:val="24"/>
        </w:rPr>
        <w:t>resid</w:t>
      </w:r>
      <w:r w:rsidR="001D2013">
        <w:rPr>
          <w:rFonts w:eastAsia="Times New Roman" w:cstheme="minorHAnsi"/>
          <w:sz w:val="24"/>
          <w:szCs w:val="24"/>
        </w:rPr>
        <w:t>a</w:t>
      </w:r>
      <w:r w:rsidR="000F44F1" w:rsidRPr="00983EB2">
        <w:rPr>
          <w:rFonts w:eastAsia="Times New Roman" w:cstheme="minorHAnsi"/>
          <w:sz w:val="24"/>
          <w:szCs w:val="24"/>
        </w:rPr>
        <w:t>nt</w:t>
      </w:r>
      <w:r w:rsidRPr="00983EB2">
        <w:rPr>
          <w:rFonts w:eastAsia="Times New Roman" w:cstheme="minorHAnsi"/>
          <w:sz w:val="24"/>
          <w:szCs w:val="24"/>
        </w:rPr>
        <w:t xml:space="preserve"> as follows:</w:t>
      </w:r>
    </w:p>
    <w:p w:rsidR="00983EB2" w:rsidRDefault="00983EB2" w:rsidP="00FC2CF8">
      <w:pPr>
        <w:spacing w:before="100" w:beforeAutospacing="1" w:after="100" w:afterAutospacing="1" w:line="360" w:lineRule="auto"/>
        <w:jc w:val="both"/>
        <w:rPr>
          <w:rFonts w:eastAsia="Times New Roman" w:cstheme="minorHAnsi"/>
          <w:sz w:val="24"/>
          <w:szCs w:val="24"/>
        </w:rPr>
      </w:pPr>
      <w:r w:rsidRPr="00983EB2">
        <w:rPr>
          <w:rFonts w:eastAsia="Times New Roman" w:cstheme="minorHAnsi"/>
          <w:b/>
          <w:sz w:val="24"/>
          <w:szCs w:val="24"/>
        </w:rPr>
        <w:t>THE COURT, HAVING REVIEWED THE FACTS, THE RECORD, AND THE PROCESS BY WHICH THE RULING WAS ISSUED,</w:t>
      </w:r>
      <w:r w:rsidRPr="00983EB2">
        <w:rPr>
          <w:rFonts w:eastAsia="Times New Roman" w:cstheme="minorHAnsi"/>
          <w:sz w:val="24"/>
          <w:szCs w:val="24"/>
        </w:rPr>
        <w:t xml:space="preserve"> and finding that the magistrate rendered a ruling by applying rules from jurisdictions foreign to this court without leave of court; and finding that the orderly decorum of the court was replaced by defective impromptu process and usurpation of legislative and court powers without leave of court,</w:t>
      </w:r>
    </w:p>
    <w:p w:rsidR="00703CB3" w:rsidRDefault="004831DF" w:rsidP="00FC2CF8">
      <w:pPr>
        <w:spacing w:before="100" w:beforeAutospacing="1" w:after="100" w:afterAutospacing="1" w:line="360" w:lineRule="auto"/>
        <w:jc w:val="both"/>
        <w:rPr>
          <w:rFonts w:eastAsia="Times New Roman" w:cstheme="minorHAnsi"/>
          <w:sz w:val="24"/>
          <w:szCs w:val="24"/>
        </w:rPr>
      </w:pPr>
      <w:r>
        <w:rPr>
          <w:rFonts w:eastAsia="Times New Roman" w:cstheme="minorHAnsi"/>
          <w:sz w:val="24"/>
          <w:szCs w:val="24"/>
        </w:rPr>
        <w:lastRenderedPageBreak/>
        <w:t>Magistrate</w:t>
      </w:r>
      <w:r w:rsidR="00E36E00">
        <w:rPr>
          <w:rFonts w:eastAsia="Times New Roman" w:cstheme="minorHAnsi"/>
          <w:sz w:val="24"/>
          <w:szCs w:val="24"/>
        </w:rPr>
        <w:t xml:space="preserve"> Loretta A Preska</w:t>
      </w:r>
      <w:r>
        <w:rPr>
          <w:rFonts w:eastAsia="Times New Roman" w:cstheme="minorHAnsi"/>
          <w:sz w:val="24"/>
          <w:szCs w:val="24"/>
        </w:rPr>
        <w:t xml:space="preserve"> has mistaken</w:t>
      </w:r>
      <w:r w:rsidR="00BD769B">
        <w:rPr>
          <w:rFonts w:eastAsia="Times New Roman" w:cstheme="minorHAnsi"/>
          <w:sz w:val="24"/>
          <w:szCs w:val="24"/>
        </w:rPr>
        <w:t xml:space="preserve"> the filing of an action at law</w:t>
      </w:r>
      <w:r w:rsidR="004871A7">
        <w:rPr>
          <w:rStyle w:val="FootnoteReference"/>
          <w:rFonts w:eastAsia="Times New Roman" w:cstheme="minorHAnsi"/>
          <w:sz w:val="24"/>
          <w:szCs w:val="24"/>
        </w:rPr>
        <w:footnoteReference w:id="10"/>
      </w:r>
      <w:r w:rsidR="00BD769B">
        <w:rPr>
          <w:rFonts w:eastAsia="Times New Roman" w:cstheme="minorHAnsi"/>
          <w:sz w:val="24"/>
          <w:szCs w:val="24"/>
        </w:rPr>
        <w:t xml:space="preserve"> in a court of record under the rules of common law for a complaint in a court “not” of record under the rules of chancery. Magistrate Loretta A Preska is now f</w:t>
      </w:r>
      <w:r>
        <w:rPr>
          <w:rFonts w:eastAsia="Times New Roman" w:cstheme="minorHAnsi"/>
          <w:sz w:val="24"/>
          <w:szCs w:val="24"/>
        </w:rPr>
        <w:t>ully informed</w:t>
      </w:r>
      <w:r w:rsidR="00BD769B">
        <w:rPr>
          <w:rFonts w:eastAsia="Times New Roman" w:cstheme="minorHAnsi"/>
          <w:sz w:val="24"/>
          <w:szCs w:val="24"/>
        </w:rPr>
        <w:t xml:space="preserve"> of her error.</w:t>
      </w:r>
    </w:p>
    <w:p w:rsidR="00983EB2" w:rsidRPr="00983EB2" w:rsidRDefault="00983EB2" w:rsidP="00FC2CF8">
      <w:pPr>
        <w:spacing w:before="100" w:beforeAutospacing="1" w:after="100" w:afterAutospacing="1" w:line="360" w:lineRule="auto"/>
        <w:rPr>
          <w:rFonts w:eastAsia="Times New Roman" w:cstheme="minorHAnsi"/>
          <w:sz w:val="24"/>
          <w:szCs w:val="24"/>
        </w:rPr>
      </w:pPr>
      <w:r w:rsidRPr="00983EB2">
        <w:rPr>
          <w:rFonts w:eastAsia="Times New Roman" w:cstheme="minorHAnsi"/>
          <w:b/>
          <w:sz w:val="24"/>
          <w:szCs w:val="24"/>
        </w:rPr>
        <w:t>NOW THEREFORE, THE COURT</w:t>
      </w:r>
      <w:r w:rsidRPr="00983EB2">
        <w:rPr>
          <w:rFonts w:eastAsia="Times New Roman" w:cstheme="minorHAnsi"/>
          <w:sz w:val="24"/>
          <w:szCs w:val="24"/>
        </w:rPr>
        <w:t xml:space="preserve"> issues this </w:t>
      </w:r>
      <w:r w:rsidRPr="00983EB2">
        <w:rPr>
          <w:rFonts w:eastAsia="Times New Roman" w:cstheme="minorHAnsi"/>
          <w:b/>
          <w:sz w:val="24"/>
          <w:szCs w:val="24"/>
        </w:rPr>
        <w:t>WRIT OF ERROR QUAE CORAM NOBIS RESID</w:t>
      </w:r>
      <w:r w:rsidR="00703CB3" w:rsidRPr="00BD769B">
        <w:rPr>
          <w:rFonts w:eastAsia="Times New Roman" w:cstheme="minorHAnsi"/>
          <w:b/>
          <w:sz w:val="24"/>
          <w:szCs w:val="24"/>
        </w:rPr>
        <w:t>E</w:t>
      </w:r>
      <w:r w:rsidRPr="00983EB2">
        <w:rPr>
          <w:rFonts w:eastAsia="Times New Roman" w:cstheme="minorHAnsi"/>
          <w:b/>
          <w:sz w:val="24"/>
          <w:szCs w:val="24"/>
        </w:rPr>
        <w:t>NT</w:t>
      </w:r>
      <w:r w:rsidRPr="00983EB2">
        <w:rPr>
          <w:rFonts w:eastAsia="Times New Roman" w:cstheme="minorHAnsi"/>
          <w:sz w:val="24"/>
          <w:szCs w:val="24"/>
        </w:rPr>
        <w:t>, to wit:</w:t>
      </w:r>
    </w:p>
    <w:p w:rsidR="00983EB2" w:rsidRDefault="00983EB2" w:rsidP="00FC2CF8">
      <w:pPr>
        <w:spacing w:before="100" w:beforeAutospacing="1" w:after="100" w:afterAutospacing="1" w:line="360" w:lineRule="auto"/>
        <w:rPr>
          <w:rFonts w:eastAsia="Times New Roman" w:cstheme="minorHAnsi"/>
          <w:sz w:val="24"/>
          <w:szCs w:val="24"/>
        </w:rPr>
      </w:pPr>
      <w:r w:rsidRPr="00983EB2">
        <w:rPr>
          <w:rFonts w:eastAsia="Times New Roman" w:cstheme="minorHAnsi"/>
          <w:sz w:val="24"/>
          <w:szCs w:val="24"/>
        </w:rPr>
        <w:t xml:space="preserve">The court rescinds all rulings entered </w:t>
      </w:r>
      <w:r w:rsidR="00703CB3">
        <w:rPr>
          <w:rFonts w:eastAsia="Times New Roman" w:cstheme="minorHAnsi"/>
          <w:sz w:val="24"/>
          <w:szCs w:val="24"/>
        </w:rPr>
        <w:t>April</w:t>
      </w:r>
      <w:r w:rsidRPr="00983EB2">
        <w:rPr>
          <w:rFonts w:eastAsia="Times New Roman" w:cstheme="minorHAnsi"/>
          <w:sz w:val="24"/>
          <w:szCs w:val="24"/>
        </w:rPr>
        <w:t xml:space="preserve"> 1, </w:t>
      </w:r>
      <w:r w:rsidR="00703CB3">
        <w:rPr>
          <w:rFonts w:eastAsia="Times New Roman" w:cstheme="minorHAnsi"/>
          <w:sz w:val="24"/>
          <w:szCs w:val="24"/>
        </w:rPr>
        <w:t>2015</w:t>
      </w:r>
      <w:r w:rsidRPr="00983EB2">
        <w:rPr>
          <w:rFonts w:eastAsia="Times New Roman" w:cstheme="minorHAnsi"/>
          <w:sz w:val="24"/>
          <w:szCs w:val="24"/>
        </w:rPr>
        <w:t>.</w:t>
      </w:r>
    </w:p>
    <w:p w:rsidR="00FC2CF8" w:rsidRDefault="00FC2CF8" w:rsidP="00103642">
      <w:pPr>
        <w:spacing w:before="100" w:beforeAutospacing="1" w:after="100" w:afterAutospacing="1" w:line="360" w:lineRule="auto"/>
        <w:jc w:val="both"/>
        <w:rPr>
          <w:rFonts w:eastAsia="Times New Roman" w:cstheme="minorHAnsi"/>
          <w:sz w:val="24"/>
          <w:szCs w:val="24"/>
        </w:rPr>
      </w:pPr>
      <w:r>
        <w:rPr>
          <w:rFonts w:eastAsia="Times New Roman" w:cstheme="minorHAnsi"/>
          <w:sz w:val="24"/>
          <w:szCs w:val="24"/>
        </w:rPr>
        <w:t>Take note</w:t>
      </w:r>
      <w:r w:rsidR="00103642">
        <w:rPr>
          <w:rFonts w:eastAsia="Times New Roman" w:cstheme="minorHAnsi"/>
          <w:sz w:val="24"/>
          <w:szCs w:val="24"/>
        </w:rPr>
        <w:t>:</w:t>
      </w:r>
      <w:r>
        <w:rPr>
          <w:rFonts w:eastAsia="Times New Roman" w:cstheme="minorHAnsi"/>
          <w:sz w:val="24"/>
          <w:szCs w:val="24"/>
        </w:rPr>
        <w:t xml:space="preserve"> </w:t>
      </w:r>
      <w:r w:rsidR="00103642">
        <w:rPr>
          <w:rFonts w:eastAsia="Times New Roman" w:cstheme="minorHAnsi"/>
          <w:sz w:val="24"/>
          <w:szCs w:val="24"/>
        </w:rPr>
        <w:t>S</w:t>
      </w:r>
      <w:r>
        <w:rPr>
          <w:rFonts w:eastAsia="Times New Roman" w:cstheme="minorHAnsi"/>
          <w:sz w:val="24"/>
          <w:szCs w:val="24"/>
        </w:rPr>
        <w:t>ummons has already issued March 12, 2015, see attached, under the rules of common law</w:t>
      </w:r>
      <w:r w:rsidR="00077903">
        <w:rPr>
          <w:rFonts w:eastAsia="Times New Roman" w:cstheme="minorHAnsi"/>
          <w:sz w:val="24"/>
          <w:szCs w:val="24"/>
        </w:rPr>
        <w:t xml:space="preserve"> as a private individual</w:t>
      </w:r>
      <w:r>
        <w:rPr>
          <w:rFonts w:eastAsia="Times New Roman" w:cstheme="minorHAnsi"/>
          <w:sz w:val="24"/>
          <w:szCs w:val="24"/>
        </w:rPr>
        <w:t>.</w:t>
      </w:r>
      <w:r w:rsidR="00077903">
        <w:rPr>
          <w:rStyle w:val="FootnoteReference"/>
          <w:rFonts w:eastAsia="Times New Roman" w:cstheme="minorHAnsi"/>
          <w:sz w:val="24"/>
          <w:szCs w:val="24"/>
        </w:rPr>
        <w:footnoteReference w:id="11"/>
      </w:r>
      <w:r>
        <w:rPr>
          <w:rFonts w:eastAsia="Times New Roman" w:cstheme="minorHAnsi"/>
          <w:sz w:val="24"/>
          <w:szCs w:val="24"/>
        </w:rPr>
        <w:t xml:space="preserve"> </w:t>
      </w:r>
    </w:p>
    <w:p w:rsidR="003403B0" w:rsidRDefault="003403B0" w:rsidP="00FC2CF8">
      <w:pPr>
        <w:spacing w:line="360" w:lineRule="auto"/>
      </w:pPr>
      <w:r w:rsidRPr="003403B0">
        <w:t>Henceforth the writ which is called Praecipe shall not be served on any one for any holding so as to cause a free man to lose his court.  [Magna Carta, Article 34].</w:t>
      </w:r>
    </w:p>
    <w:p w:rsidR="00FC2CF8" w:rsidRPr="00EB1BEC" w:rsidRDefault="00FC2CF8" w:rsidP="00FC2CF8">
      <w:pPr>
        <w:spacing w:line="360" w:lineRule="auto"/>
      </w:pPr>
      <w:r w:rsidRPr="00EB1BEC">
        <w:t xml:space="preserve">Dated: </w:t>
      </w:r>
      <w:r w:rsidR="003403B0">
        <w:t>April</w:t>
      </w:r>
      <w:r w:rsidRPr="00EB1BEC">
        <w:t xml:space="preserve"> 1</w:t>
      </w:r>
      <w:r w:rsidR="003403B0">
        <w:t>3</w:t>
      </w:r>
      <w:r w:rsidRPr="00EB1BEC">
        <w:t xml:space="preserve">, 2015; </w:t>
      </w:r>
      <w:r w:rsidR="00C74343" w:rsidRPr="00C74343">
        <w:rPr>
          <w:highlight w:val="yellow"/>
        </w:rPr>
        <w:t>Your</w:t>
      </w:r>
      <w:r w:rsidRPr="00EB1BEC">
        <w:t xml:space="preserve"> County, New York</w:t>
      </w:r>
    </w:p>
    <w:p w:rsidR="00FC2CF8" w:rsidRDefault="00FC2CF8" w:rsidP="00FC2CF8">
      <w:pPr>
        <w:spacing w:line="360" w:lineRule="auto"/>
      </w:pPr>
    </w:p>
    <w:p w:rsidR="00F02B75" w:rsidRPr="00EB1BEC" w:rsidRDefault="00C74343" w:rsidP="00FC2CF8">
      <w:pPr>
        <w:spacing w:line="360" w:lineRule="auto"/>
      </w:pPr>
      <w:r>
        <w:tab/>
      </w:r>
      <w:r>
        <w:tab/>
        <w:t>SEAL</w:t>
      </w:r>
    </w:p>
    <w:p w:rsidR="00FC2CF8" w:rsidRPr="00EB1BEC" w:rsidRDefault="00FC2CF8" w:rsidP="00F02B75">
      <w:pPr>
        <w:spacing w:after="0"/>
      </w:pPr>
      <w:r w:rsidRPr="00EB1BEC">
        <w:tab/>
      </w:r>
      <w:r w:rsidRPr="00EB1BEC">
        <w:tab/>
      </w:r>
      <w:r w:rsidRPr="00EB1BEC">
        <w:tab/>
      </w:r>
      <w:r w:rsidRPr="00EB1BEC">
        <w:tab/>
      </w:r>
      <w:r w:rsidRPr="00EB1BEC">
        <w:tab/>
      </w:r>
      <w:r w:rsidR="00077903">
        <w:tab/>
      </w:r>
      <w:r w:rsidRPr="00EB1BEC">
        <w:tab/>
        <w:t>_______________________________________</w:t>
      </w:r>
      <w:r w:rsidRPr="00EB1BEC">
        <w:br/>
      </w:r>
      <w:r w:rsidRPr="00EB1BEC">
        <w:tab/>
      </w:r>
      <w:r w:rsidRPr="00EB1BEC">
        <w:tab/>
      </w:r>
      <w:r w:rsidRPr="00EB1BEC">
        <w:tab/>
      </w:r>
      <w:r w:rsidRPr="00EB1BEC">
        <w:tab/>
      </w:r>
      <w:r w:rsidRPr="00EB1BEC">
        <w:tab/>
      </w:r>
      <w:r w:rsidRPr="00EB1BEC">
        <w:tab/>
      </w:r>
      <w:r w:rsidRPr="00EB1BEC">
        <w:tab/>
      </w:r>
      <w:r w:rsidRPr="00EB1BEC">
        <w:tab/>
      </w:r>
      <w:r w:rsidR="00077903">
        <w:t xml:space="preserve">   </w:t>
      </w:r>
      <w:r w:rsidR="00C74343" w:rsidRPr="00C74343">
        <w:rPr>
          <w:highlight w:val="yellow"/>
        </w:rPr>
        <w:t>Full Name</w:t>
      </w:r>
      <w:r w:rsidRPr="00EB1BEC">
        <w:t>, in pro per;</w:t>
      </w:r>
    </w:p>
    <w:p w:rsidR="00FC2CF8" w:rsidRPr="00EB1BEC" w:rsidRDefault="00077903" w:rsidP="00FC2CF8">
      <w:pPr>
        <w:spacing w:line="360" w:lineRule="auto"/>
        <w:ind w:left="1440" w:firstLine="4320"/>
      </w:pPr>
      <w:r>
        <w:t xml:space="preserve">   </w:t>
      </w:r>
      <w:r w:rsidR="00FC2CF8" w:rsidRPr="00EB1BEC">
        <w:t>Sealed and delivered</w:t>
      </w:r>
      <w:r w:rsidR="00FC2CF8" w:rsidRPr="00EB1BEC">
        <w:rPr>
          <w:rStyle w:val="FootnoteReference"/>
        </w:rPr>
        <w:footnoteReference w:id="12"/>
      </w:r>
    </w:p>
    <w:p w:rsidR="00FC2CF8" w:rsidRDefault="00FC2CF8" w:rsidP="00FC2CF8">
      <w:pPr>
        <w:spacing w:line="360" w:lineRule="auto"/>
        <w:rPr>
          <w:rFonts w:cstheme="minorHAnsi"/>
          <w:sz w:val="24"/>
          <w:szCs w:val="24"/>
        </w:rPr>
      </w:pPr>
    </w:p>
    <w:p w:rsidR="00610964" w:rsidRDefault="00610964" w:rsidP="00FC2CF8">
      <w:pPr>
        <w:spacing w:line="360" w:lineRule="auto"/>
        <w:rPr>
          <w:rFonts w:cstheme="minorHAnsi"/>
          <w:sz w:val="24"/>
          <w:szCs w:val="24"/>
        </w:rPr>
      </w:pPr>
    </w:p>
    <w:sectPr w:rsidR="0061096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9F3" w:rsidRDefault="00DC49F3" w:rsidP="00145A84">
      <w:pPr>
        <w:spacing w:after="0" w:line="240" w:lineRule="auto"/>
      </w:pPr>
      <w:r>
        <w:separator/>
      </w:r>
    </w:p>
  </w:endnote>
  <w:endnote w:type="continuationSeparator" w:id="0">
    <w:p w:rsidR="00DC49F3" w:rsidRDefault="00DC49F3" w:rsidP="00145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231200"/>
      <w:docPartObj>
        <w:docPartGallery w:val="Page Numbers (Bottom of Page)"/>
        <w:docPartUnique/>
      </w:docPartObj>
    </w:sdtPr>
    <w:sdtEndPr>
      <w:rPr>
        <w:b/>
        <w:smallCaps/>
      </w:rPr>
    </w:sdtEndPr>
    <w:sdtContent>
      <w:sdt>
        <w:sdtPr>
          <w:id w:val="-1669238322"/>
          <w:docPartObj>
            <w:docPartGallery w:val="Page Numbers (Top of Page)"/>
            <w:docPartUnique/>
          </w:docPartObj>
        </w:sdtPr>
        <w:sdtEndPr>
          <w:rPr>
            <w:b/>
            <w:smallCaps/>
          </w:rPr>
        </w:sdtEndPr>
        <w:sdtContent>
          <w:p w:rsidR="003403B0" w:rsidRPr="003403B0" w:rsidRDefault="003403B0">
            <w:pPr>
              <w:pStyle w:val="Footer"/>
              <w:jc w:val="center"/>
              <w:rPr>
                <w:b/>
                <w:smallCaps/>
              </w:rPr>
            </w:pPr>
            <w:r w:rsidRPr="003403B0">
              <w:rPr>
                <w:b/>
                <w:smallCaps/>
              </w:rPr>
              <w:t>Writ of Error</w:t>
            </w:r>
            <w:r w:rsidRPr="003403B0">
              <w:rPr>
                <w:b/>
                <w:smallCaps/>
              </w:rPr>
              <w:tab/>
            </w:r>
            <w:r w:rsidRPr="003403B0">
              <w:rPr>
                <w:b/>
                <w:smallCaps/>
              </w:rPr>
              <w:tab/>
              <w:t xml:space="preserve">Page </w:t>
            </w:r>
            <w:r w:rsidRPr="003403B0">
              <w:rPr>
                <w:b/>
                <w:bCs/>
                <w:smallCaps/>
                <w:sz w:val="24"/>
                <w:szCs w:val="24"/>
              </w:rPr>
              <w:fldChar w:fldCharType="begin"/>
            </w:r>
            <w:r w:rsidRPr="003403B0">
              <w:rPr>
                <w:b/>
                <w:bCs/>
                <w:smallCaps/>
              </w:rPr>
              <w:instrText xml:space="preserve"> PAGE </w:instrText>
            </w:r>
            <w:r w:rsidRPr="003403B0">
              <w:rPr>
                <w:b/>
                <w:bCs/>
                <w:smallCaps/>
                <w:sz w:val="24"/>
                <w:szCs w:val="24"/>
              </w:rPr>
              <w:fldChar w:fldCharType="separate"/>
            </w:r>
            <w:r w:rsidR="00154900">
              <w:rPr>
                <w:b/>
                <w:bCs/>
                <w:smallCaps/>
                <w:noProof/>
              </w:rPr>
              <w:t>2</w:t>
            </w:r>
            <w:r w:rsidRPr="003403B0">
              <w:rPr>
                <w:b/>
                <w:bCs/>
                <w:smallCaps/>
                <w:sz w:val="24"/>
                <w:szCs w:val="24"/>
              </w:rPr>
              <w:fldChar w:fldCharType="end"/>
            </w:r>
            <w:r w:rsidRPr="003403B0">
              <w:rPr>
                <w:b/>
                <w:smallCaps/>
              </w:rPr>
              <w:t xml:space="preserve"> of </w:t>
            </w:r>
            <w:r w:rsidRPr="003403B0">
              <w:rPr>
                <w:b/>
                <w:bCs/>
                <w:smallCaps/>
                <w:sz w:val="24"/>
                <w:szCs w:val="24"/>
              </w:rPr>
              <w:fldChar w:fldCharType="begin"/>
            </w:r>
            <w:r w:rsidRPr="003403B0">
              <w:rPr>
                <w:b/>
                <w:bCs/>
                <w:smallCaps/>
              </w:rPr>
              <w:instrText xml:space="preserve"> NUMPAGES  </w:instrText>
            </w:r>
            <w:r w:rsidRPr="003403B0">
              <w:rPr>
                <w:b/>
                <w:bCs/>
                <w:smallCaps/>
                <w:sz w:val="24"/>
                <w:szCs w:val="24"/>
              </w:rPr>
              <w:fldChar w:fldCharType="separate"/>
            </w:r>
            <w:r w:rsidR="00154900">
              <w:rPr>
                <w:b/>
                <w:bCs/>
                <w:smallCaps/>
                <w:noProof/>
              </w:rPr>
              <w:t>5</w:t>
            </w:r>
            <w:r w:rsidRPr="003403B0">
              <w:rPr>
                <w:b/>
                <w:bCs/>
                <w:smallCaps/>
                <w:sz w:val="24"/>
                <w:szCs w:val="24"/>
              </w:rPr>
              <w:fldChar w:fldCharType="end"/>
            </w:r>
          </w:p>
        </w:sdtContent>
      </w:sdt>
    </w:sdtContent>
  </w:sdt>
  <w:p w:rsidR="003403B0" w:rsidRDefault="00340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9F3" w:rsidRDefault="00DC49F3" w:rsidP="00145A84">
      <w:pPr>
        <w:spacing w:after="0" w:line="240" w:lineRule="auto"/>
      </w:pPr>
      <w:r>
        <w:separator/>
      </w:r>
    </w:p>
  </w:footnote>
  <w:footnote w:type="continuationSeparator" w:id="0">
    <w:p w:rsidR="00DC49F3" w:rsidRDefault="00DC49F3" w:rsidP="00145A84">
      <w:pPr>
        <w:spacing w:after="0" w:line="240" w:lineRule="auto"/>
      </w:pPr>
      <w:r>
        <w:continuationSeparator/>
      </w:r>
    </w:p>
  </w:footnote>
  <w:footnote w:id="1">
    <w:p w:rsidR="00145A84" w:rsidRPr="00145A84" w:rsidRDefault="00145A84" w:rsidP="00145A84">
      <w:pPr>
        <w:pStyle w:val="FootnoteText"/>
        <w:jc w:val="both"/>
        <w:rPr>
          <w:sz w:val="18"/>
          <w:szCs w:val="18"/>
        </w:rPr>
      </w:pPr>
      <w:r w:rsidRPr="00145A84">
        <w:rPr>
          <w:rStyle w:val="FootnoteReference"/>
          <w:b/>
          <w:sz w:val="18"/>
          <w:szCs w:val="18"/>
        </w:rPr>
        <w:footnoteRef/>
      </w:r>
      <w:r w:rsidRPr="00145A84">
        <w:rPr>
          <w:b/>
          <w:sz w:val="18"/>
          <w:szCs w:val="18"/>
        </w:rPr>
        <w:t xml:space="preserve"> EQUITY JURISDICTION</w:t>
      </w:r>
      <w:r w:rsidRPr="00145A84">
        <w:rPr>
          <w:sz w:val="18"/>
          <w:szCs w:val="18"/>
        </w:rPr>
        <w:t xml:space="preserve"> </w:t>
      </w:r>
      <w:r w:rsidR="003D6EB1">
        <w:rPr>
          <w:sz w:val="18"/>
          <w:szCs w:val="18"/>
        </w:rPr>
        <w:t>“</w:t>
      </w:r>
      <w:r w:rsidRPr="003D6EB1">
        <w:rPr>
          <w:i/>
          <w:sz w:val="18"/>
          <w:szCs w:val="18"/>
        </w:rPr>
        <w:t>In a general sense, the jurisdiction belonging to a court of equity, but more particularly the aggregate of those cases, controversies, and occasions which form proper subjects for the exercise of the powers of a chancery court</w:t>
      </w:r>
      <w:r w:rsidRPr="00145A84">
        <w:rPr>
          <w:sz w:val="18"/>
          <w:szCs w:val="18"/>
        </w:rPr>
        <w:t>.</w:t>
      </w:r>
      <w:r w:rsidR="003D6EB1">
        <w:rPr>
          <w:sz w:val="18"/>
          <w:szCs w:val="18"/>
        </w:rPr>
        <w:t>”</w:t>
      </w:r>
      <w:r w:rsidRPr="00145A84">
        <w:rPr>
          <w:sz w:val="18"/>
          <w:szCs w:val="18"/>
        </w:rPr>
        <w:t xml:space="preserve"> See Wadham Oil Co. v. Tracy, 141 Wis. 150, 123 N.W. 785, 787, 18 Ann.Cas. 779; Venner v. Great Northern R. Co., C.C.N.Y., 153 F. 408, 413, 414. "</w:t>
      </w:r>
      <w:r w:rsidRPr="003D6EB1">
        <w:rPr>
          <w:i/>
          <w:sz w:val="18"/>
          <w:szCs w:val="18"/>
        </w:rPr>
        <w:t>Equity jurisdiction, in its ordinary acceptation, as distinguished on the one side from the general power to decide matters at all, and on the other from the jurisdiction "at law" or "common-law jurisdiction," is the power to hear certain kinds and classes of civil causes according to the principles of the method and procedure adopted by the court of chancery, and to decide them in accordance with the doctrines and rules of equity jurisprudence</w:t>
      </w:r>
      <w:r w:rsidRPr="00145A84">
        <w:rPr>
          <w:sz w:val="18"/>
          <w:szCs w:val="18"/>
        </w:rPr>
        <w:t>,</w:t>
      </w:r>
      <w:r w:rsidR="003D6EB1">
        <w:rPr>
          <w:sz w:val="18"/>
          <w:szCs w:val="18"/>
        </w:rPr>
        <w:t>”</w:t>
      </w:r>
      <w:r w:rsidRPr="00145A84">
        <w:rPr>
          <w:sz w:val="18"/>
          <w:szCs w:val="18"/>
        </w:rPr>
        <w:t xml:space="preserve">  Norback v. Board of Directors of Church Extension Soc., 84 Utah 506, 37 P.2d 339.</w:t>
      </w:r>
    </w:p>
  </w:footnote>
  <w:footnote w:id="2">
    <w:p w:rsidR="00A17668" w:rsidRPr="00A17668" w:rsidRDefault="00A17668" w:rsidP="00A17668">
      <w:pPr>
        <w:pStyle w:val="FootnoteText"/>
        <w:jc w:val="both"/>
        <w:rPr>
          <w:sz w:val="18"/>
          <w:szCs w:val="18"/>
        </w:rPr>
      </w:pPr>
      <w:r w:rsidRPr="00A17668">
        <w:rPr>
          <w:rStyle w:val="FootnoteReference"/>
          <w:b/>
          <w:sz w:val="18"/>
          <w:szCs w:val="18"/>
        </w:rPr>
        <w:footnoteRef/>
      </w:r>
      <w:r w:rsidRPr="00A17668">
        <w:rPr>
          <w:b/>
          <w:sz w:val="18"/>
          <w:szCs w:val="18"/>
        </w:rPr>
        <w:t xml:space="preserve"> COMMON-LAW JURISDICTION.</w:t>
      </w:r>
      <w:r w:rsidRPr="00A17668">
        <w:rPr>
          <w:sz w:val="18"/>
          <w:szCs w:val="18"/>
        </w:rPr>
        <w:t xml:space="preserve"> </w:t>
      </w:r>
      <w:r w:rsidR="003D6EB1">
        <w:rPr>
          <w:sz w:val="18"/>
          <w:szCs w:val="18"/>
        </w:rPr>
        <w:t>“</w:t>
      </w:r>
      <w:r w:rsidRPr="003D6EB1">
        <w:rPr>
          <w:i/>
          <w:sz w:val="18"/>
          <w:szCs w:val="18"/>
        </w:rPr>
        <w:t>Jurisdiction of a court to try and decide such cases as were cognizable by the courts of law under the English common law; the jurisdiction of those courts which exercise their judicial powers according to the course of the common law</w:t>
      </w:r>
      <w:r w:rsidRPr="00A17668">
        <w:rPr>
          <w:sz w:val="18"/>
          <w:szCs w:val="18"/>
        </w:rPr>
        <w:t>.</w:t>
      </w:r>
      <w:r w:rsidR="003D6EB1">
        <w:rPr>
          <w:sz w:val="18"/>
          <w:szCs w:val="18"/>
        </w:rPr>
        <w:t>”</w:t>
      </w:r>
      <w:r w:rsidRPr="00A17668">
        <w:rPr>
          <w:sz w:val="18"/>
          <w:szCs w:val="18"/>
        </w:rPr>
        <w:t xml:space="preserve"> U. S. v. Power, 27 Fed.Cas. 607.</w:t>
      </w:r>
    </w:p>
  </w:footnote>
  <w:footnote w:id="3">
    <w:p w:rsidR="006338E1" w:rsidRPr="003E12B7" w:rsidRDefault="006338E1" w:rsidP="006338E1">
      <w:pPr>
        <w:pStyle w:val="FootnoteText"/>
        <w:jc w:val="both"/>
        <w:rPr>
          <w:b/>
          <w:sz w:val="18"/>
          <w:szCs w:val="18"/>
        </w:rPr>
      </w:pPr>
      <w:r w:rsidRPr="003E12B7">
        <w:rPr>
          <w:rStyle w:val="FootnoteReference"/>
          <w:b/>
          <w:sz w:val="18"/>
          <w:szCs w:val="18"/>
        </w:rPr>
        <w:footnoteRef/>
      </w:r>
      <w:r w:rsidRPr="003E12B7">
        <w:rPr>
          <w:b/>
          <w:sz w:val="18"/>
          <w:szCs w:val="18"/>
        </w:rPr>
        <w:t xml:space="preserve"> 1 Sam 8:3</w:t>
      </w:r>
    </w:p>
  </w:footnote>
  <w:footnote w:id="4">
    <w:p w:rsidR="003D6EB1" w:rsidRPr="003D6EB1" w:rsidRDefault="003D6EB1" w:rsidP="003D6EB1">
      <w:pPr>
        <w:pStyle w:val="FootnoteText"/>
        <w:jc w:val="both"/>
        <w:rPr>
          <w:sz w:val="18"/>
          <w:szCs w:val="18"/>
        </w:rPr>
      </w:pPr>
      <w:r w:rsidRPr="003D6EB1">
        <w:rPr>
          <w:rStyle w:val="FootnoteReference"/>
          <w:sz w:val="18"/>
          <w:szCs w:val="18"/>
        </w:rPr>
        <w:footnoteRef/>
      </w:r>
      <w:r w:rsidRPr="003D6EB1">
        <w:rPr>
          <w:sz w:val="18"/>
          <w:szCs w:val="18"/>
        </w:rPr>
        <w:t xml:space="preserve"> </w:t>
      </w:r>
      <w:r>
        <w:rPr>
          <w:sz w:val="18"/>
          <w:szCs w:val="18"/>
        </w:rPr>
        <w:t>“</w:t>
      </w:r>
      <w:r w:rsidRPr="003D6EB1">
        <w:rPr>
          <w:i/>
          <w:sz w:val="18"/>
          <w:szCs w:val="18"/>
        </w:rPr>
        <w:t>Due course of law, this phrase is synonymous with "due process of law" or "law of the land" and means law in its regular course of administration through courts of justice</w:t>
      </w:r>
      <w:r w:rsidRPr="003D6EB1">
        <w:rPr>
          <w:sz w:val="18"/>
          <w:szCs w:val="18"/>
        </w:rPr>
        <w:t>.</w:t>
      </w:r>
      <w:r>
        <w:rPr>
          <w:sz w:val="18"/>
          <w:szCs w:val="18"/>
        </w:rPr>
        <w:t>”</w:t>
      </w:r>
      <w:r w:rsidRPr="003D6EB1">
        <w:rPr>
          <w:sz w:val="18"/>
          <w:szCs w:val="18"/>
        </w:rPr>
        <w:t xml:space="preserve"> - Kansas Pac. Ry. Co. v. Dunmeyer 19 KAN 542.</w:t>
      </w:r>
    </w:p>
  </w:footnote>
  <w:footnote w:id="5">
    <w:p w:rsidR="003E12B7" w:rsidRPr="003E12B7" w:rsidRDefault="003E12B7" w:rsidP="003E12B7">
      <w:pPr>
        <w:pStyle w:val="FootnoteText"/>
        <w:jc w:val="both"/>
        <w:rPr>
          <w:sz w:val="18"/>
          <w:szCs w:val="18"/>
        </w:rPr>
      </w:pPr>
      <w:r w:rsidRPr="003E12B7">
        <w:rPr>
          <w:rStyle w:val="FootnoteReference"/>
          <w:sz w:val="18"/>
          <w:szCs w:val="18"/>
        </w:rPr>
        <w:footnoteRef/>
      </w:r>
      <w:r w:rsidRPr="003E12B7">
        <w:rPr>
          <w:sz w:val="18"/>
          <w:szCs w:val="18"/>
        </w:rPr>
        <w:t xml:space="preserve"> </w:t>
      </w:r>
      <w:r w:rsidRPr="003E12B7">
        <w:rPr>
          <w:rFonts w:ascii="Times New Roman" w:hAnsi="Times New Roman"/>
          <w:b/>
          <w:sz w:val="18"/>
          <w:szCs w:val="18"/>
        </w:rPr>
        <w:t xml:space="preserve">STATUTE WITHOUT REGULATIONS HAVE NO FORCE </w:t>
      </w:r>
      <w:r w:rsidR="003D6EB1">
        <w:rPr>
          <w:rFonts w:ascii="Times New Roman" w:hAnsi="Times New Roman"/>
          <w:b/>
          <w:sz w:val="18"/>
          <w:szCs w:val="18"/>
        </w:rPr>
        <w:t>“</w:t>
      </w:r>
      <w:r w:rsidRPr="003D6EB1">
        <w:rPr>
          <w:rFonts w:ascii="Times New Roman" w:hAnsi="Times New Roman"/>
          <w:i/>
          <w:sz w:val="18"/>
          <w:szCs w:val="18"/>
        </w:rPr>
        <w:t xml:space="preserve">Here the statue is not complete by itself, since it merely declares the range of its operation and leaves to its progeny the means to be utilized in the effectuation of its command.  But it is the statute which creates the offense of the willful removal of the labels of origin and provides the punishment for violations. The regulations, on the other hand, prescribe the identifying language of the label itself tags to their respective geographical areas.  Once promulgated these regulations called for by the statute itself have the force of law, and violation thereof incur criminal prosecutions, just as if all the details had been incorporated into the Congressional language. </w:t>
      </w:r>
      <w:r w:rsidRPr="003D6EB1">
        <w:rPr>
          <w:rFonts w:ascii="Times New Roman" w:hAnsi="Times New Roman"/>
          <w:i/>
          <w:sz w:val="18"/>
          <w:szCs w:val="18"/>
          <w:u w:val="single"/>
        </w:rPr>
        <w:t>The result is that neither the statute nor the regulations are complete without the other, and only together do they have any force,  In effect, therefore, the construction of one necessarily involves the construction of the other</w:t>
      </w:r>
      <w:r w:rsidRPr="003E12B7">
        <w:rPr>
          <w:rFonts w:ascii="Times New Roman" w:hAnsi="Times New Roman"/>
          <w:b/>
          <w:sz w:val="18"/>
          <w:szCs w:val="18"/>
        </w:rPr>
        <w:t>”</w:t>
      </w:r>
      <w:r w:rsidRPr="003E12B7">
        <w:rPr>
          <w:rFonts w:ascii="Times New Roman" w:hAnsi="Times New Roman"/>
          <w:sz w:val="18"/>
          <w:szCs w:val="18"/>
        </w:rPr>
        <w:t xml:space="preserve"> - U.S. v. Mersky, 361 U.S. 431 (1960)</w:t>
      </w:r>
    </w:p>
  </w:footnote>
  <w:footnote w:id="6">
    <w:p w:rsidR="009128FF" w:rsidRPr="009128FF" w:rsidRDefault="009128FF" w:rsidP="009128FF">
      <w:pPr>
        <w:pStyle w:val="FootnoteText"/>
        <w:jc w:val="both"/>
        <w:rPr>
          <w:sz w:val="18"/>
          <w:szCs w:val="18"/>
        </w:rPr>
      </w:pPr>
      <w:r w:rsidRPr="009128FF">
        <w:rPr>
          <w:rStyle w:val="FootnoteReference"/>
          <w:b/>
          <w:sz w:val="18"/>
          <w:szCs w:val="18"/>
        </w:rPr>
        <w:footnoteRef/>
      </w:r>
      <w:r w:rsidRPr="009128FF">
        <w:rPr>
          <w:b/>
          <w:sz w:val="18"/>
          <w:szCs w:val="18"/>
        </w:rPr>
        <w:t xml:space="preserve"> Trespass on the case.</w:t>
      </w:r>
      <w:r w:rsidRPr="009128FF">
        <w:rPr>
          <w:sz w:val="18"/>
          <w:szCs w:val="18"/>
        </w:rPr>
        <w:t xml:space="preserve"> </w:t>
      </w:r>
      <w:r>
        <w:rPr>
          <w:sz w:val="18"/>
          <w:szCs w:val="18"/>
        </w:rPr>
        <w:t>“</w:t>
      </w:r>
      <w:r w:rsidRPr="009128FF">
        <w:rPr>
          <w:i/>
          <w:sz w:val="18"/>
          <w:szCs w:val="18"/>
        </w:rPr>
        <w:t>The form of action, at common law, adapted to the recovery of damages for some injury resulting to a party from the wrongful act of another, unaccompanied by direct or immediate force, or which is the indirect or secondary consequence of defendant's act. Commonly called, by abbreviation, "Case."</w:t>
      </w:r>
      <w:r>
        <w:rPr>
          <w:sz w:val="18"/>
          <w:szCs w:val="18"/>
        </w:rPr>
        <w:t>”</w:t>
      </w:r>
      <w:r w:rsidRPr="009128FF">
        <w:rPr>
          <w:sz w:val="18"/>
          <w:szCs w:val="18"/>
        </w:rPr>
        <w:t xml:space="preserve"> Munal v. Brown, C.C.Colo., 70 F. 968; Nolan v. Railroad Co., 70 Conn. 159, 39 A. 115, 43 L.R.A. 305; New York Life Ins. Co. v. Clay County, 221 Iowa 966, 267 N.W. 79, 80.</w:t>
      </w:r>
    </w:p>
  </w:footnote>
  <w:footnote w:id="7">
    <w:p w:rsidR="00FB0904" w:rsidRPr="00B76261" w:rsidRDefault="00FB0904">
      <w:pPr>
        <w:pStyle w:val="FootnoteText"/>
        <w:rPr>
          <w:sz w:val="18"/>
          <w:szCs w:val="18"/>
        </w:rPr>
      </w:pPr>
      <w:r w:rsidRPr="00B76261">
        <w:rPr>
          <w:rStyle w:val="FootnoteReference"/>
          <w:b/>
          <w:sz w:val="18"/>
          <w:szCs w:val="18"/>
        </w:rPr>
        <w:footnoteRef/>
      </w:r>
      <w:r w:rsidRPr="00B76261">
        <w:rPr>
          <w:b/>
          <w:sz w:val="18"/>
          <w:szCs w:val="18"/>
        </w:rPr>
        <w:t xml:space="preserve"> SUBJECT Constitutional Law -</w:t>
      </w:r>
      <w:r w:rsidRPr="00B76261">
        <w:rPr>
          <w:sz w:val="18"/>
          <w:szCs w:val="18"/>
        </w:rPr>
        <w:t xml:space="preserve"> One that owes allegiance to a sovereign and is governed by his laws.</w:t>
      </w:r>
    </w:p>
  </w:footnote>
  <w:footnote w:id="8">
    <w:p w:rsidR="00B76261" w:rsidRPr="00B76261" w:rsidRDefault="00B76261" w:rsidP="00B76261">
      <w:pPr>
        <w:pStyle w:val="FootnoteText"/>
        <w:jc w:val="both"/>
        <w:rPr>
          <w:sz w:val="18"/>
          <w:szCs w:val="18"/>
        </w:rPr>
      </w:pPr>
      <w:r w:rsidRPr="00B76261">
        <w:rPr>
          <w:rStyle w:val="FootnoteReference"/>
          <w:sz w:val="18"/>
          <w:szCs w:val="18"/>
        </w:rPr>
        <w:footnoteRef/>
      </w:r>
      <w:r w:rsidRPr="00B76261">
        <w:rPr>
          <w:sz w:val="18"/>
          <w:szCs w:val="18"/>
        </w:rPr>
        <w:t xml:space="preserve"> </w:t>
      </w:r>
      <w:r w:rsidRPr="00B76261">
        <w:rPr>
          <w:rFonts w:eastAsia="Times New Roman" w:cstheme="minorHAnsi"/>
          <w:sz w:val="18"/>
          <w:szCs w:val="18"/>
        </w:rPr>
        <w:t>"There, every man is independent of all laws, except those prescribed by nature. He is not bound by any institutions formed by his fellowman without his consent." Cruden v. Neale, 2 N.C. 338 (1796) 2 S.E.</w:t>
      </w:r>
    </w:p>
  </w:footnote>
  <w:footnote w:id="9">
    <w:p w:rsidR="008549DA" w:rsidRPr="008549DA" w:rsidRDefault="008549DA" w:rsidP="008549DA">
      <w:pPr>
        <w:pStyle w:val="FootnoteText"/>
        <w:jc w:val="both"/>
        <w:rPr>
          <w:sz w:val="18"/>
          <w:szCs w:val="18"/>
        </w:rPr>
      </w:pPr>
      <w:r w:rsidRPr="008549DA">
        <w:rPr>
          <w:rStyle w:val="FootnoteReference"/>
          <w:b/>
          <w:sz w:val="18"/>
          <w:szCs w:val="18"/>
        </w:rPr>
        <w:footnoteRef/>
      </w:r>
      <w:r w:rsidRPr="008549DA">
        <w:rPr>
          <w:b/>
          <w:sz w:val="18"/>
          <w:szCs w:val="18"/>
        </w:rPr>
        <w:t xml:space="preserve"> A judicial tribunal</w:t>
      </w:r>
      <w:r w:rsidRPr="008549DA">
        <w:rPr>
          <w:sz w:val="18"/>
          <w:szCs w:val="18"/>
        </w:rPr>
        <w:t xml:space="preserve"> having attributes and exercising functions independently of the person of the magistrate designated generally to hold it Jones v. Jones, 188 Mo.App. 220, 175 S.W. 227, 229; Ex parte Gladhill, 8 Metc. Mass., 171, per Shaw, C.J. See, also, Ledwith v. Rosalsky, 244 N.Y. 406, 155 N.E. 688, 689][Black's Law Dictionary, 4th Ed., 425, 426</w:t>
      </w:r>
    </w:p>
  </w:footnote>
  <w:footnote w:id="10">
    <w:p w:rsidR="004871A7" w:rsidRPr="004871A7" w:rsidRDefault="004871A7" w:rsidP="004871A7">
      <w:pPr>
        <w:pStyle w:val="FootnoteText"/>
        <w:jc w:val="both"/>
        <w:rPr>
          <w:sz w:val="18"/>
          <w:szCs w:val="18"/>
        </w:rPr>
      </w:pPr>
      <w:r w:rsidRPr="004871A7">
        <w:rPr>
          <w:rStyle w:val="FootnoteReference"/>
          <w:b/>
          <w:sz w:val="18"/>
          <w:szCs w:val="18"/>
        </w:rPr>
        <w:footnoteRef/>
      </w:r>
      <w:r w:rsidRPr="004871A7">
        <w:rPr>
          <w:b/>
          <w:sz w:val="18"/>
          <w:szCs w:val="18"/>
        </w:rPr>
        <w:t xml:space="preserve"> AT LAW</w:t>
      </w:r>
      <w:r w:rsidRPr="004871A7">
        <w:rPr>
          <w:sz w:val="18"/>
          <w:szCs w:val="18"/>
        </w:rPr>
        <w:t xml:space="preserve"> Blacks 4th This phrase is used to point out that a thing is to be done according to the course of the common law; it is distinguished from a proceeding in equity</w:t>
      </w:r>
    </w:p>
  </w:footnote>
  <w:footnote w:id="11">
    <w:p w:rsidR="00077903" w:rsidRPr="00077903" w:rsidRDefault="00077903">
      <w:pPr>
        <w:pStyle w:val="FootnoteText"/>
        <w:rPr>
          <w:sz w:val="18"/>
          <w:szCs w:val="18"/>
        </w:rPr>
      </w:pPr>
      <w:r w:rsidRPr="00077903">
        <w:rPr>
          <w:rStyle w:val="FootnoteReference"/>
          <w:b/>
          <w:sz w:val="18"/>
          <w:szCs w:val="18"/>
        </w:rPr>
        <w:footnoteRef/>
      </w:r>
      <w:r w:rsidRPr="00077903">
        <w:rPr>
          <w:b/>
          <w:sz w:val="18"/>
          <w:szCs w:val="18"/>
        </w:rPr>
        <w:t xml:space="preserve"> INDIVIDUAL</w:t>
      </w:r>
      <w:r w:rsidRPr="00077903">
        <w:rPr>
          <w:sz w:val="18"/>
          <w:szCs w:val="18"/>
        </w:rPr>
        <w:t xml:space="preserve"> As a noun, this term denotes a single person as distinguished from a group or class, and also, very commonly, a private or natural person as distinguished from a partnership, corporation, or association; State v. Bell Telephone Co., 36 Ohio St. 310, 38 Am.Rep. 583.</w:t>
      </w:r>
    </w:p>
  </w:footnote>
  <w:footnote w:id="12">
    <w:p w:rsidR="00FC2CF8" w:rsidRPr="00A51E70" w:rsidRDefault="00FC2CF8" w:rsidP="00FC2CF8">
      <w:pPr>
        <w:pStyle w:val="FootnoteText"/>
        <w:jc w:val="both"/>
      </w:pPr>
      <w:r w:rsidRPr="00077903">
        <w:rPr>
          <w:rStyle w:val="FootnoteReference"/>
          <w:b/>
        </w:rPr>
        <w:footnoteRef/>
      </w:r>
      <w:r w:rsidRPr="00077903">
        <w:rPr>
          <w:b/>
        </w:rPr>
        <w:t xml:space="preserve"> SEAL</w:t>
      </w:r>
      <w:r w:rsidRPr="00A51E70">
        <w:t xml:space="preserve"> (Blacks 4th) A particular sign, made to attest in the most formal manner, the execution of an instrument. Merlin defines a seal to be a plate of metal with a flat surface, on which is engraved the arms of a prince or nation, or private individual, or other device, with which an impression may be made on paper or parchment in order to authenticate them. The impression thus made is also called a "seal." SEALED AND DELIVERED. These words, fol</w:t>
      </w:r>
      <w:r>
        <w:t>lowed</w:t>
      </w:r>
      <w:r w:rsidRPr="00A51E70">
        <w:t xml:space="preserve"> by the signatures of the witnesses, constitute the usual formula for the attestation of conveyances.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2F46"/>
    <w:multiLevelType w:val="hybridMultilevel"/>
    <w:tmpl w:val="7E8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B2"/>
    <w:rsid w:val="000501CA"/>
    <w:rsid w:val="00077903"/>
    <w:rsid w:val="00090885"/>
    <w:rsid w:val="000B264B"/>
    <w:rsid w:val="000B41BC"/>
    <w:rsid w:val="000F44F1"/>
    <w:rsid w:val="00103642"/>
    <w:rsid w:val="00145A84"/>
    <w:rsid w:val="00154900"/>
    <w:rsid w:val="001D2013"/>
    <w:rsid w:val="001F2BBE"/>
    <w:rsid w:val="001F6099"/>
    <w:rsid w:val="002B2E57"/>
    <w:rsid w:val="002E6462"/>
    <w:rsid w:val="00315A0A"/>
    <w:rsid w:val="003403B0"/>
    <w:rsid w:val="00367CD8"/>
    <w:rsid w:val="003B657F"/>
    <w:rsid w:val="003D6EB1"/>
    <w:rsid w:val="003E12B7"/>
    <w:rsid w:val="004831DF"/>
    <w:rsid w:val="004871A7"/>
    <w:rsid w:val="004C22CB"/>
    <w:rsid w:val="005D0D24"/>
    <w:rsid w:val="00610964"/>
    <w:rsid w:val="006338E1"/>
    <w:rsid w:val="006574C4"/>
    <w:rsid w:val="006621D4"/>
    <w:rsid w:val="006B5DFD"/>
    <w:rsid w:val="00703CB3"/>
    <w:rsid w:val="00771292"/>
    <w:rsid w:val="007C75B4"/>
    <w:rsid w:val="00826539"/>
    <w:rsid w:val="008549DA"/>
    <w:rsid w:val="009128FF"/>
    <w:rsid w:val="009268F1"/>
    <w:rsid w:val="00983EB2"/>
    <w:rsid w:val="009F5962"/>
    <w:rsid w:val="00A140BB"/>
    <w:rsid w:val="00A17668"/>
    <w:rsid w:val="00AC1687"/>
    <w:rsid w:val="00B01DC5"/>
    <w:rsid w:val="00B374A0"/>
    <w:rsid w:val="00B76261"/>
    <w:rsid w:val="00BD769B"/>
    <w:rsid w:val="00BE573C"/>
    <w:rsid w:val="00C46969"/>
    <w:rsid w:val="00C74343"/>
    <w:rsid w:val="00DC49F3"/>
    <w:rsid w:val="00E35CF2"/>
    <w:rsid w:val="00E36E00"/>
    <w:rsid w:val="00F02B75"/>
    <w:rsid w:val="00F34635"/>
    <w:rsid w:val="00F705EB"/>
    <w:rsid w:val="00F75D61"/>
    <w:rsid w:val="00FB0904"/>
    <w:rsid w:val="00FC2CF8"/>
    <w:rsid w:val="00FD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83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83EB2"/>
    <w:rPr>
      <w:rFonts w:ascii="Courier New" w:eastAsia="Times New Roman" w:hAnsi="Courier New" w:cs="Courier New"/>
      <w:sz w:val="20"/>
      <w:szCs w:val="20"/>
    </w:rPr>
  </w:style>
  <w:style w:type="paragraph" w:styleId="NormalWeb">
    <w:name w:val="Normal (Web)"/>
    <w:basedOn w:val="Normal"/>
    <w:uiPriority w:val="99"/>
    <w:semiHidden/>
    <w:unhideWhenUsed/>
    <w:rsid w:val="00983E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145A84"/>
    <w:pPr>
      <w:spacing w:after="0" w:line="240" w:lineRule="auto"/>
    </w:pPr>
    <w:rPr>
      <w:sz w:val="20"/>
      <w:szCs w:val="20"/>
    </w:rPr>
  </w:style>
  <w:style w:type="character" w:customStyle="1" w:styleId="FootnoteTextChar">
    <w:name w:val="Footnote Text Char"/>
    <w:basedOn w:val="DefaultParagraphFont"/>
    <w:link w:val="FootnoteText"/>
    <w:uiPriority w:val="99"/>
    <w:rsid w:val="00145A84"/>
    <w:rPr>
      <w:sz w:val="20"/>
      <w:szCs w:val="20"/>
    </w:rPr>
  </w:style>
  <w:style w:type="character" w:styleId="FootnoteReference">
    <w:name w:val="footnote reference"/>
    <w:basedOn w:val="DefaultParagraphFont"/>
    <w:uiPriority w:val="99"/>
    <w:unhideWhenUsed/>
    <w:rsid w:val="00145A84"/>
    <w:rPr>
      <w:vertAlign w:val="superscript"/>
    </w:rPr>
  </w:style>
  <w:style w:type="paragraph" w:styleId="ListParagraph">
    <w:name w:val="List Paragraph"/>
    <w:basedOn w:val="Normal"/>
    <w:uiPriority w:val="34"/>
    <w:qFormat/>
    <w:rsid w:val="00771292"/>
    <w:pPr>
      <w:ind w:left="720"/>
      <w:contextualSpacing/>
    </w:pPr>
  </w:style>
  <w:style w:type="paragraph" w:styleId="Header">
    <w:name w:val="header"/>
    <w:basedOn w:val="Normal"/>
    <w:link w:val="HeaderChar"/>
    <w:uiPriority w:val="99"/>
    <w:unhideWhenUsed/>
    <w:rsid w:val="00340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3B0"/>
  </w:style>
  <w:style w:type="paragraph" w:styleId="Footer">
    <w:name w:val="footer"/>
    <w:basedOn w:val="Normal"/>
    <w:link w:val="FooterChar"/>
    <w:uiPriority w:val="99"/>
    <w:unhideWhenUsed/>
    <w:rsid w:val="00340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3B0"/>
  </w:style>
  <w:style w:type="paragraph" w:styleId="BalloonText">
    <w:name w:val="Balloon Text"/>
    <w:basedOn w:val="Normal"/>
    <w:link w:val="BalloonTextChar"/>
    <w:uiPriority w:val="99"/>
    <w:semiHidden/>
    <w:unhideWhenUsed/>
    <w:rsid w:val="00BE5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83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83EB2"/>
    <w:rPr>
      <w:rFonts w:ascii="Courier New" w:eastAsia="Times New Roman" w:hAnsi="Courier New" w:cs="Courier New"/>
      <w:sz w:val="20"/>
      <w:szCs w:val="20"/>
    </w:rPr>
  </w:style>
  <w:style w:type="paragraph" w:styleId="NormalWeb">
    <w:name w:val="Normal (Web)"/>
    <w:basedOn w:val="Normal"/>
    <w:uiPriority w:val="99"/>
    <w:semiHidden/>
    <w:unhideWhenUsed/>
    <w:rsid w:val="00983E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145A84"/>
    <w:pPr>
      <w:spacing w:after="0" w:line="240" w:lineRule="auto"/>
    </w:pPr>
    <w:rPr>
      <w:sz w:val="20"/>
      <w:szCs w:val="20"/>
    </w:rPr>
  </w:style>
  <w:style w:type="character" w:customStyle="1" w:styleId="FootnoteTextChar">
    <w:name w:val="Footnote Text Char"/>
    <w:basedOn w:val="DefaultParagraphFont"/>
    <w:link w:val="FootnoteText"/>
    <w:uiPriority w:val="99"/>
    <w:rsid w:val="00145A84"/>
    <w:rPr>
      <w:sz w:val="20"/>
      <w:szCs w:val="20"/>
    </w:rPr>
  </w:style>
  <w:style w:type="character" w:styleId="FootnoteReference">
    <w:name w:val="footnote reference"/>
    <w:basedOn w:val="DefaultParagraphFont"/>
    <w:uiPriority w:val="99"/>
    <w:unhideWhenUsed/>
    <w:rsid w:val="00145A84"/>
    <w:rPr>
      <w:vertAlign w:val="superscript"/>
    </w:rPr>
  </w:style>
  <w:style w:type="paragraph" w:styleId="ListParagraph">
    <w:name w:val="List Paragraph"/>
    <w:basedOn w:val="Normal"/>
    <w:uiPriority w:val="34"/>
    <w:qFormat/>
    <w:rsid w:val="00771292"/>
    <w:pPr>
      <w:ind w:left="720"/>
      <w:contextualSpacing/>
    </w:pPr>
  </w:style>
  <w:style w:type="paragraph" w:styleId="Header">
    <w:name w:val="header"/>
    <w:basedOn w:val="Normal"/>
    <w:link w:val="HeaderChar"/>
    <w:uiPriority w:val="99"/>
    <w:unhideWhenUsed/>
    <w:rsid w:val="00340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3B0"/>
  </w:style>
  <w:style w:type="paragraph" w:styleId="Footer">
    <w:name w:val="footer"/>
    <w:basedOn w:val="Normal"/>
    <w:link w:val="FooterChar"/>
    <w:uiPriority w:val="99"/>
    <w:unhideWhenUsed/>
    <w:rsid w:val="00340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3B0"/>
  </w:style>
  <w:style w:type="paragraph" w:styleId="BalloonText">
    <w:name w:val="Balloon Text"/>
    <w:basedOn w:val="Normal"/>
    <w:link w:val="BalloonTextChar"/>
    <w:uiPriority w:val="99"/>
    <w:semiHidden/>
    <w:unhideWhenUsed/>
    <w:rsid w:val="00BE5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74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667AB-051C-4C86-8DBF-F5BF64FB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Xylem</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9</cp:revision>
  <cp:lastPrinted>2015-04-13T21:19:00Z</cp:lastPrinted>
  <dcterms:created xsi:type="dcterms:W3CDTF">2015-04-13T20:35:00Z</dcterms:created>
  <dcterms:modified xsi:type="dcterms:W3CDTF">2015-04-13T21:24:00Z</dcterms:modified>
</cp:coreProperties>
</file>