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C0" w:rsidRPr="003963C0" w:rsidRDefault="003963C0" w:rsidP="00E33D2E">
      <w:pPr>
        <w:spacing w:after="0"/>
        <w:jc w:val="center"/>
        <w:rPr>
          <w:rFonts w:ascii="Times New Roman" w:hAnsi="Times New Roman" w:cs="Times New Roman"/>
          <w:b/>
          <w:sz w:val="36"/>
          <w:szCs w:val="36"/>
        </w:rPr>
      </w:pPr>
      <w:r w:rsidRPr="003963C0">
        <w:rPr>
          <w:rFonts w:ascii="Times New Roman" w:hAnsi="Times New Roman" w:cs="Times New Roman"/>
          <w:b/>
          <w:sz w:val="36"/>
          <w:szCs w:val="36"/>
        </w:rPr>
        <w:t>JURISDICTION</w:t>
      </w:r>
    </w:p>
    <w:p w:rsidR="0023635B" w:rsidRDefault="0023635B" w:rsidP="0023635B">
      <w:pPr>
        <w:jc w:val="center"/>
        <w:rPr>
          <w:rFonts w:ascii="Times New Roman" w:hAnsi="Times New Roman" w:cs="Times New Roman"/>
          <w:b/>
          <w:sz w:val="28"/>
          <w:szCs w:val="28"/>
        </w:rPr>
      </w:pPr>
      <w:r w:rsidRPr="00941439">
        <w:rPr>
          <w:rFonts w:ascii="Times New Roman" w:hAnsi="Times New Roman" w:cs="Times New Roman"/>
          <w:b/>
          <w:sz w:val="28"/>
          <w:szCs w:val="28"/>
        </w:rPr>
        <w:t>UNITED STATES DISTRICT COURTS</w:t>
      </w:r>
      <w:r w:rsidR="00E33D2E">
        <w:rPr>
          <w:rFonts w:ascii="Times New Roman" w:hAnsi="Times New Roman" w:cs="Times New Roman"/>
          <w:b/>
          <w:sz w:val="28"/>
          <w:szCs w:val="28"/>
        </w:rPr>
        <w:t xml:space="preserve"> </w:t>
      </w:r>
      <w:r>
        <w:rPr>
          <w:rFonts w:ascii="Times New Roman" w:hAnsi="Times New Roman" w:cs="Times New Roman"/>
          <w:b/>
          <w:sz w:val="28"/>
          <w:szCs w:val="28"/>
        </w:rPr>
        <w:br/>
      </w:r>
      <w:r w:rsidR="004B37EA">
        <w:rPr>
          <w:rFonts w:ascii="Times New Roman" w:hAnsi="Times New Roman" w:cs="Times New Roman"/>
          <w:b/>
          <w:sz w:val="28"/>
          <w:szCs w:val="28"/>
        </w:rPr>
        <w:t>“</w:t>
      </w:r>
      <w:r>
        <w:rPr>
          <w:rFonts w:ascii="Times New Roman" w:hAnsi="Times New Roman" w:cs="Times New Roman"/>
          <w:b/>
          <w:sz w:val="28"/>
          <w:szCs w:val="28"/>
        </w:rPr>
        <w:t xml:space="preserve">ARE </w:t>
      </w:r>
      <w:r w:rsidR="00B32C77" w:rsidRPr="00941439">
        <w:rPr>
          <w:rFonts w:ascii="Times New Roman" w:hAnsi="Times New Roman" w:cs="Times New Roman"/>
          <w:b/>
          <w:sz w:val="28"/>
          <w:szCs w:val="28"/>
        </w:rPr>
        <w:t>ARTICLE III COURTS</w:t>
      </w:r>
      <w:r w:rsidR="004B37EA">
        <w:rPr>
          <w:rFonts w:ascii="Times New Roman" w:hAnsi="Times New Roman" w:cs="Times New Roman"/>
          <w:b/>
          <w:sz w:val="28"/>
          <w:szCs w:val="28"/>
        </w:rPr>
        <w:t>”</w:t>
      </w:r>
    </w:p>
    <w:p w:rsidR="00E33D2E" w:rsidRDefault="00E33D2E" w:rsidP="00E33D2E">
      <w:pPr>
        <w:spacing w:after="0"/>
        <w:jc w:val="both"/>
        <w:rPr>
          <w:rFonts w:ascii="Times New Roman" w:hAnsi="Times New Roman" w:cs="Times New Roman"/>
        </w:rPr>
      </w:pPr>
    </w:p>
    <w:p w:rsidR="008305C0" w:rsidRDefault="00B32C77" w:rsidP="008D1EC0">
      <w:pPr>
        <w:jc w:val="both"/>
        <w:rPr>
          <w:rFonts w:ascii="Times New Roman" w:hAnsi="Times New Roman" w:cs="Times New Roman"/>
        </w:rPr>
      </w:pPr>
      <w:r w:rsidRPr="00B32C77">
        <w:rPr>
          <w:rFonts w:ascii="Times New Roman" w:hAnsi="Times New Roman" w:cs="Times New Roman"/>
        </w:rPr>
        <w:t xml:space="preserve">There are </w:t>
      </w:r>
      <w:r>
        <w:rPr>
          <w:rFonts w:ascii="Times New Roman" w:hAnsi="Times New Roman" w:cs="Times New Roman"/>
        </w:rPr>
        <w:t xml:space="preserve">ninety-four </w:t>
      </w:r>
      <w:r w:rsidR="002414A7">
        <w:rPr>
          <w:rFonts w:ascii="Times New Roman" w:hAnsi="Times New Roman" w:cs="Times New Roman"/>
        </w:rPr>
        <w:t xml:space="preserve">judicial </w:t>
      </w:r>
      <w:r>
        <w:rPr>
          <w:rFonts w:ascii="Times New Roman" w:hAnsi="Times New Roman" w:cs="Times New Roman"/>
        </w:rPr>
        <w:t>district</w:t>
      </w:r>
      <w:r w:rsidR="002414A7">
        <w:rPr>
          <w:rFonts w:ascii="Times New Roman" w:hAnsi="Times New Roman" w:cs="Times New Roman"/>
        </w:rPr>
        <w:t xml:space="preserve"> constitutional</w:t>
      </w:r>
      <w:r>
        <w:rPr>
          <w:rFonts w:ascii="Times New Roman" w:hAnsi="Times New Roman" w:cs="Times New Roman"/>
        </w:rPr>
        <w:t xml:space="preserve"> courts ordained and established by </w:t>
      </w:r>
      <w:r w:rsidRPr="00443BBB">
        <w:rPr>
          <w:rFonts w:ascii="Old English Text MT" w:hAnsi="Old English Text MT" w:cs="Times New Roman"/>
        </w:rPr>
        <w:t>W</w:t>
      </w:r>
      <w:r>
        <w:rPr>
          <w:rFonts w:ascii="Times New Roman" w:hAnsi="Times New Roman" w:cs="Times New Roman"/>
        </w:rPr>
        <w:t xml:space="preserve">e the </w:t>
      </w:r>
      <w:r w:rsidRPr="00443BBB">
        <w:rPr>
          <w:rFonts w:ascii="Old English Text MT" w:hAnsi="Old English Text MT" w:cs="Times New Roman"/>
        </w:rPr>
        <w:t>P</w:t>
      </w:r>
      <w:r>
        <w:rPr>
          <w:rFonts w:ascii="Times New Roman" w:hAnsi="Times New Roman" w:cs="Times New Roman"/>
        </w:rPr>
        <w:t xml:space="preserve">eople under </w:t>
      </w:r>
      <w:r w:rsidR="00EA1236" w:rsidRPr="008D1EC0">
        <w:rPr>
          <w:rFonts w:ascii="Times New Roman" w:hAnsi="Times New Roman" w:cs="Times New Roman"/>
          <w:u w:val="single"/>
        </w:rPr>
        <w:t>Article III Section 1</w:t>
      </w:r>
      <w:r w:rsidR="00EA1236" w:rsidRPr="00EA1236">
        <w:rPr>
          <w:rFonts w:ascii="Times New Roman" w:hAnsi="Times New Roman" w:cs="Times New Roman"/>
        </w:rPr>
        <w:t xml:space="preserve"> </w:t>
      </w:r>
      <w:r>
        <w:rPr>
          <w:rFonts w:ascii="Times New Roman" w:hAnsi="Times New Roman" w:cs="Times New Roman"/>
        </w:rPr>
        <w:t>whereas there “</w:t>
      </w:r>
      <w:r w:rsidR="00EA1236" w:rsidRPr="00B32C77">
        <w:rPr>
          <w:rFonts w:ascii="Times New Roman" w:hAnsi="Times New Roman" w:cs="Times New Roman"/>
          <w:i/>
        </w:rPr>
        <w:t xml:space="preserve">shall be vested in one Supreme Court, and in such </w:t>
      </w:r>
      <w:r w:rsidR="00EA1236" w:rsidRPr="003B69DD">
        <w:rPr>
          <w:rFonts w:ascii="Times New Roman" w:hAnsi="Times New Roman" w:cs="Times New Roman"/>
          <w:i/>
          <w:u w:val="single"/>
        </w:rPr>
        <w:t>inferior courts as the Congress may from time to time ordain and establish</w:t>
      </w:r>
      <w:r w:rsidR="00EA1236" w:rsidRPr="00B32C77">
        <w:rPr>
          <w:rFonts w:ascii="Times New Roman" w:hAnsi="Times New Roman" w:cs="Times New Roman"/>
          <w:i/>
        </w:rPr>
        <w:t xml:space="preserve">. The judges, both of the supreme and inferior courts, shall </w:t>
      </w:r>
      <w:r w:rsidR="00EA1236" w:rsidRPr="003B69DD">
        <w:rPr>
          <w:rFonts w:ascii="Times New Roman" w:hAnsi="Times New Roman" w:cs="Times New Roman"/>
          <w:i/>
          <w:u w:val="single"/>
        </w:rPr>
        <w:t xml:space="preserve">hold their offices during good </w:t>
      </w:r>
      <w:r w:rsidR="008D1EC0" w:rsidRPr="003B69DD">
        <w:rPr>
          <w:rFonts w:ascii="Times New Roman" w:hAnsi="Times New Roman" w:cs="Times New Roman"/>
          <w:i/>
          <w:u w:val="single"/>
        </w:rPr>
        <w:t>behavior</w:t>
      </w:r>
      <w:r w:rsidR="00443BBB">
        <w:rPr>
          <w:rStyle w:val="FootnoteReference"/>
          <w:rFonts w:ascii="Times New Roman" w:hAnsi="Times New Roman" w:cs="Times New Roman"/>
          <w:i/>
        </w:rPr>
        <w:footnoteReference w:id="1"/>
      </w:r>
      <w:r>
        <w:rPr>
          <w:rFonts w:ascii="Times New Roman" w:hAnsi="Times New Roman" w:cs="Times New Roman"/>
        </w:rPr>
        <w:t xml:space="preserve">”. Congress </w:t>
      </w:r>
      <w:r w:rsidR="00546613">
        <w:rPr>
          <w:rFonts w:ascii="Times New Roman" w:hAnsi="Times New Roman" w:cs="Times New Roman"/>
        </w:rPr>
        <w:t xml:space="preserve">constitutionally </w:t>
      </w:r>
      <w:r>
        <w:rPr>
          <w:rFonts w:ascii="Times New Roman" w:hAnsi="Times New Roman" w:cs="Times New Roman"/>
        </w:rPr>
        <w:t>codified th</w:t>
      </w:r>
      <w:r w:rsidR="008305C0">
        <w:rPr>
          <w:rFonts w:ascii="Times New Roman" w:hAnsi="Times New Roman" w:cs="Times New Roman"/>
        </w:rPr>
        <w:t xml:space="preserve">e </w:t>
      </w:r>
      <w:r w:rsidR="008305C0" w:rsidRPr="008305C0">
        <w:rPr>
          <w:rFonts w:ascii="Old English Text MT" w:hAnsi="Old English Text MT" w:cs="Times New Roman"/>
        </w:rPr>
        <w:t>P</w:t>
      </w:r>
      <w:r w:rsidR="008305C0">
        <w:rPr>
          <w:rFonts w:ascii="Times New Roman" w:hAnsi="Times New Roman" w:cs="Times New Roman"/>
        </w:rPr>
        <w:t>eoples</w:t>
      </w:r>
      <w:r>
        <w:rPr>
          <w:rFonts w:ascii="Times New Roman" w:hAnsi="Times New Roman" w:cs="Times New Roman"/>
        </w:rPr>
        <w:t xml:space="preserve"> </w:t>
      </w:r>
      <w:r w:rsidR="008305C0" w:rsidRPr="008305C0">
        <w:rPr>
          <w:rFonts w:ascii="Old English Text MT" w:hAnsi="Old English Text MT" w:cs="Times New Roman"/>
        </w:rPr>
        <w:t>D</w:t>
      </w:r>
      <w:r>
        <w:rPr>
          <w:rFonts w:ascii="Times New Roman" w:hAnsi="Times New Roman" w:cs="Times New Roman"/>
        </w:rPr>
        <w:t>e</w:t>
      </w:r>
      <w:r w:rsidR="00443BBB">
        <w:rPr>
          <w:rFonts w:ascii="Times New Roman" w:hAnsi="Times New Roman" w:cs="Times New Roman"/>
        </w:rPr>
        <w:t>c</w:t>
      </w:r>
      <w:r>
        <w:rPr>
          <w:rFonts w:ascii="Times New Roman" w:hAnsi="Times New Roman" w:cs="Times New Roman"/>
        </w:rPr>
        <w:t xml:space="preserve">ree under </w:t>
      </w:r>
      <w:r w:rsidRPr="003B69DD">
        <w:rPr>
          <w:rFonts w:ascii="Times New Roman" w:hAnsi="Times New Roman" w:cs="Times New Roman"/>
          <w:u w:val="single"/>
        </w:rPr>
        <w:t>28 U.S. Code §132</w:t>
      </w:r>
      <w:r w:rsidRPr="00EA1236">
        <w:rPr>
          <w:rFonts w:ascii="Times New Roman" w:hAnsi="Times New Roman" w:cs="Times New Roman"/>
        </w:rPr>
        <w:t xml:space="preserve"> </w:t>
      </w:r>
      <w:r w:rsidR="00E207E2">
        <w:rPr>
          <w:rFonts w:ascii="Times New Roman" w:hAnsi="Times New Roman" w:cs="Times New Roman"/>
        </w:rPr>
        <w:t xml:space="preserve">whereas we read </w:t>
      </w:r>
      <w:r w:rsidRPr="00EA1236">
        <w:rPr>
          <w:rFonts w:ascii="Times New Roman" w:hAnsi="Times New Roman" w:cs="Times New Roman"/>
        </w:rPr>
        <w:t xml:space="preserve">- </w:t>
      </w:r>
      <w:r w:rsidRPr="00B32C77">
        <w:rPr>
          <w:rFonts w:ascii="Times New Roman" w:hAnsi="Times New Roman" w:cs="Times New Roman"/>
          <w:i/>
        </w:rPr>
        <w:t xml:space="preserve">Creation and composition of district courts (a) There shall be in each </w:t>
      </w:r>
      <w:r w:rsidRPr="003B69DD">
        <w:rPr>
          <w:rFonts w:ascii="Times New Roman" w:hAnsi="Times New Roman" w:cs="Times New Roman"/>
          <w:b/>
          <w:i/>
          <w:u w:val="single"/>
        </w:rPr>
        <w:t>judicial district</w:t>
      </w:r>
      <w:r w:rsidRPr="00B32C77">
        <w:rPr>
          <w:rFonts w:ascii="Times New Roman" w:hAnsi="Times New Roman" w:cs="Times New Roman"/>
          <w:i/>
        </w:rPr>
        <w:t xml:space="preserve"> a district court which shall be a </w:t>
      </w:r>
      <w:r w:rsidRPr="00546613">
        <w:rPr>
          <w:rFonts w:ascii="Times New Roman" w:hAnsi="Times New Roman" w:cs="Times New Roman"/>
          <w:b/>
          <w:i/>
          <w:u w:val="single"/>
        </w:rPr>
        <w:t>court of record</w:t>
      </w:r>
      <w:r w:rsidRPr="00B32C77">
        <w:rPr>
          <w:rFonts w:ascii="Times New Roman" w:hAnsi="Times New Roman" w:cs="Times New Roman"/>
          <w:i/>
        </w:rPr>
        <w:t xml:space="preserve"> known as the </w:t>
      </w:r>
      <w:r w:rsidRPr="003B69DD">
        <w:rPr>
          <w:rFonts w:ascii="Times New Roman" w:hAnsi="Times New Roman" w:cs="Times New Roman"/>
          <w:i/>
        </w:rPr>
        <w:t>United States District Court</w:t>
      </w:r>
      <w:r w:rsidRPr="00B32C77">
        <w:rPr>
          <w:rFonts w:ascii="Times New Roman" w:hAnsi="Times New Roman" w:cs="Times New Roman"/>
          <w:i/>
        </w:rPr>
        <w:t xml:space="preserve"> for the</w:t>
      </w:r>
      <w:r w:rsidR="008305C0">
        <w:rPr>
          <w:rFonts w:ascii="Times New Roman" w:hAnsi="Times New Roman" w:cs="Times New Roman"/>
          <w:i/>
        </w:rPr>
        <w:t xml:space="preserve"> </w:t>
      </w:r>
      <w:r w:rsidR="008305C0" w:rsidRPr="008305C0">
        <w:rPr>
          <w:rFonts w:ascii="Times New Roman" w:hAnsi="Times New Roman" w:cs="Times New Roman"/>
        </w:rPr>
        <w:t>(</w:t>
      </w:r>
      <w:r w:rsidR="008305C0">
        <w:rPr>
          <w:rFonts w:ascii="Times New Roman" w:hAnsi="Times New Roman" w:cs="Times New Roman"/>
        </w:rPr>
        <w:t>judicial</w:t>
      </w:r>
      <w:r w:rsidR="008305C0" w:rsidRPr="008305C0">
        <w:rPr>
          <w:rFonts w:ascii="Times New Roman" w:hAnsi="Times New Roman" w:cs="Times New Roman"/>
        </w:rPr>
        <w:t>)</w:t>
      </w:r>
      <w:r w:rsidR="003B69DD">
        <w:rPr>
          <w:rFonts w:ascii="Times New Roman" w:hAnsi="Times New Roman" w:cs="Times New Roman"/>
          <w:i/>
        </w:rPr>
        <w:t xml:space="preserve"> </w:t>
      </w:r>
      <w:r w:rsidRPr="00B32C77">
        <w:rPr>
          <w:rFonts w:ascii="Times New Roman" w:hAnsi="Times New Roman" w:cs="Times New Roman"/>
          <w:i/>
        </w:rPr>
        <w:t>district</w:t>
      </w:r>
      <w:r w:rsidR="00E207E2" w:rsidRPr="00E207E2">
        <w:rPr>
          <w:rFonts w:ascii="Times New Roman" w:hAnsi="Times New Roman" w:cs="Times New Roman"/>
        </w:rPr>
        <w:t>”</w:t>
      </w:r>
      <w:r w:rsidR="00945F91">
        <w:rPr>
          <w:rFonts w:ascii="Times New Roman" w:hAnsi="Times New Roman" w:cs="Times New Roman"/>
        </w:rPr>
        <w:t>;</w:t>
      </w:r>
      <w:r w:rsidR="00546613">
        <w:rPr>
          <w:rFonts w:ascii="Times New Roman" w:hAnsi="Times New Roman" w:cs="Times New Roman"/>
        </w:rPr>
        <w:t xml:space="preserve"> </w:t>
      </w:r>
      <w:r w:rsidR="005A1045">
        <w:rPr>
          <w:rFonts w:ascii="Times New Roman" w:hAnsi="Times New Roman" w:cs="Times New Roman"/>
        </w:rPr>
        <w:t xml:space="preserve">and </w:t>
      </w:r>
      <w:r w:rsidR="00546613">
        <w:rPr>
          <w:rFonts w:ascii="Times New Roman" w:hAnsi="Times New Roman" w:cs="Times New Roman"/>
        </w:rPr>
        <w:t>whereas</w:t>
      </w:r>
      <w:r w:rsidR="009B1022">
        <w:rPr>
          <w:rFonts w:ascii="Times New Roman" w:hAnsi="Times New Roman" w:cs="Times New Roman"/>
        </w:rPr>
        <w:t>,</w:t>
      </w:r>
      <w:r w:rsidR="00546613">
        <w:rPr>
          <w:rFonts w:ascii="Times New Roman" w:hAnsi="Times New Roman" w:cs="Times New Roman"/>
        </w:rPr>
        <w:t xml:space="preserve"> “</w:t>
      </w:r>
      <w:r w:rsidR="00546613">
        <w:rPr>
          <w:rFonts w:ascii="Times New Roman" w:hAnsi="Times New Roman" w:cs="Times New Roman"/>
          <w:i/>
        </w:rPr>
        <w:t>a</w:t>
      </w:r>
      <w:r w:rsidR="00546613" w:rsidRPr="00546613">
        <w:rPr>
          <w:rFonts w:ascii="Times New Roman" w:hAnsi="Times New Roman" w:cs="Times New Roman"/>
          <w:i/>
        </w:rPr>
        <w:t xml:space="preserve"> court of record proceeds according to the course of common</w:t>
      </w:r>
      <w:r w:rsidR="008305C0">
        <w:rPr>
          <w:rFonts w:ascii="Times New Roman" w:hAnsi="Times New Roman" w:cs="Times New Roman"/>
          <w:i/>
        </w:rPr>
        <w:t xml:space="preserve"> </w:t>
      </w:r>
      <w:r w:rsidR="008305C0" w:rsidRPr="008305C0">
        <w:rPr>
          <w:rFonts w:ascii="Times New Roman" w:hAnsi="Times New Roman" w:cs="Times New Roman"/>
        </w:rPr>
        <w:t>(</w:t>
      </w:r>
      <w:r w:rsidR="008305C0">
        <w:rPr>
          <w:rFonts w:ascii="Times New Roman" w:hAnsi="Times New Roman" w:cs="Times New Roman"/>
        </w:rPr>
        <w:t>natural</w:t>
      </w:r>
      <w:r w:rsidR="008305C0" w:rsidRPr="008305C0">
        <w:rPr>
          <w:rFonts w:ascii="Times New Roman" w:hAnsi="Times New Roman" w:cs="Times New Roman"/>
        </w:rPr>
        <w:t>)</w:t>
      </w:r>
      <w:r w:rsidR="00546613" w:rsidRPr="00546613">
        <w:rPr>
          <w:rFonts w:ascii="Times New Roman" w:hAnsi="Times New Roman" w:cs="Times New Roman"/>
          <w:i/>
        </w:rPr>
        <w:t xml:space="preserve"> law</w:t>
      </w:r>
      <w:r w:rsidR="00A46CE5">
        <w:rPr>
          <w:rStyle w:val="FootnoteReference"/>
          <w:rFonts w:ascii="Times New Roman" w:hAnsi="Times New Roman" w:cs="Times New Roman"/>
          <w:i/>
        </w:rPr>
        <w:footnoteReference w:id="2"/>
      </w:r>
      <w:r w:rsidR="00546613">
        <w:rPr>
          <w:rFonts w:ascii="Times New Roman" w:hAnsi="Times New Roman" w:cs="Times New Roman"/>
        </w:rPr>
        <w:t>”.</w:t>
      </w:r>
    </w:p>
    <w:p w:rsidR="00FE53A4" w:rsidRDefault="008305C0" w:rsidP="008D1EC0">
      <w:pPr>
        <w:jc w:val="both"/>
        <w:rPr>
          <w:rFonts w:ascii="Times New Roman" w:hAnsi="Times New Roman" w:cs="Times New Roman"/>
        </w:rPr>
      </w:pPr>
      <w:r w:rsidRPr="008305C0">
        <w:rPr>
          <w:rFonts w:ascii="Times New Roman" w:hAnsi="Times New Roman" w:cs="Times New Roman"/>
          <w:b/>
          <w:smallCaps/>
          <w:sz w:val="24"/>
          <w:szCs w:val="24"/>
          <w:u w:val="single"/>
        </w:rPr>
        <w:t>TAKE JUDICIAL NOTICE</w:t>
      </w:r>
      <w:r>
        <w:rPr>
          <w:rFonts w:ascii="Times New Roman" w:hAnsi="Times New Roman" w:cs="Times New Roman"/>
        </w:rPr>
        <w:t xml:space="preserve"> - T</w:t>
      </w:r>
      <w:r w:rsidR="003B69DD" w:rsidRPr="00A46CE5">
        <w:rPr>
          <w:rFonts w:ascii="Times New Roman" w:hAnsi="Times New Roman" w:cs="Times New Roman"/>
        </w:rPr>
        <w:t xml:space="preserve">he law said “Judicial District” not </w:t>
      </w:r>
      <w:r>
        <w:rPr>
          <w:rFonts w:ascii="Times New Roman" w:hAnsi="Times New Roman" w:cs="Times New Roman"/>
        </w:rPr>
        <w:t>“</w:t>
      </w:r>
      <w:r w:rsidR="003B69DD" w:rsidRPr="00A46CE5">
        <w:rPr>
          <w:rFonts w:ascii="Times New Roman" w:hAnsi="Times New Roman" w:cs="Times New Roman"/>
        </w:rPr>
        <w:t>District of Columbia</w:t>
      </w:r>
      <w:r>
        <w:rPr>
          <w:rFonts w:ascii="Times New Roman" w:hAnsi="Times New Roman" w:cs="Times New Roman"/>
        </w:rPr>
        <w:t>”</w:t>
      </w:r>
      <w:r w:rsidR="003B69DD">
        <w:rPr>
          <w:rFonts w:ascii="Times New Roman" w:hAnsi="Times New Roman" w:cs="Times New Roman"/>
        </w:rPr>
        <w:t>.</w:t>
      </w:r>
    </w:p>
    <w:p w:rsidR="00443BBB" w:rsidRDefault="00B32C77" w:rsidP="00B32C77">
      <w:pPr>
        <w:jc w:val="both"/>
        <w:rPr>
          <w:rFonts w:ascii="Times New Roman" w:hAnsi="Times New Roman" w:cs="Times New Roman"/>
        </w:rPr>
      </w:pPr>
      <w:r>
        <w:rPr>
          <w:rFonts w:ascii="Times New Roman" w:hAnsi="Times New Roman" w:cs="Times New Roman"/>
        </w:rPr>
        <w:t>Under</w:t>
      </w:r>
      <w:r w:rsidRPr="00B32C77">
        <w:rPr>
          <w:rFonts w:ascii="Times New Roman" w:hAnsi="Times New Roman" w:cs="Times New Roman"/>
        </w:rPr>
        <w:t xml:space="preserve"> </w:t>
      </w:r>
      <w:r w:rsidRPr="00B32C77">
        <w:rPr>
          <w:rFonts w:ascii="Times New Roman" w:hAnsi="Times New Roman" w:cs="Times New Roman"/>
          <w:u w:val="single"/>
        </w:rPr>
        <w:t>Article III Section 2</w:t>
      </w:r>
      <w:r w:rsidRPr="00B32C77">
        <w:rPr>
          <w:rFonts w:ascii="Times New Roman" w:hAnsi="Times New Roman" w:cs="Times New Roman"/>
        </w:rPr>
        <w:t xml:space="preserve"> </w:t>
      </w:r>
      <w:r w:rsidR="00443BBB" w:rsidRPr="00443BBB">
        <w:rPr>
          <w:rFonts w:ascii="Old English Text MT" w:hAnsi="Old English Text MT" w:cs="Times New Roman"/>
        </w:rPr>
        <w:t>W</w:t>
      </w:r>
      <w:r w:rsidR="00443BBB">
        <w:rPr>
          <w:rFonts w:ascii="Times New Roman" w:hAnsi="Times New Roman" w:cs="Times New Roman"/>
        </w:rPr>
        <w:t xml:space="preserve">e the </w:t>
      </w:r>
      <w:r w:rsidR="00443BBB" w:rsidRPr="00443BBB">
        <w:rPr>
          <w:rFonts w:ascii="Old English Text MT" w:hAnsi="Old English Text MT" w:cs="Times New Roman"/>
        </w:rPr>
        <w:t>P</w:t>
      </w:r>
      <w:r w:rsidR="00443BBB">
        <w:rPr>
          <w:rFonts w:ascii="Times New Roman" w:hAnsi="Times New Roman" w:cs="Times New Roman"/>
        </w:rPr>
        <w:t xml:space="preserve">eople </w:t>
      </w:r>
      <w:r>
        <w:rPr>
          <w:rFonts w:ascii="Times New Roman" w:hAnsi="Times New Roman" w:cs="Times New Roman"/>
        </w:rPr>
        <w:t>de</w:t>
      </w:r>
      <w:r w:rsidR="00443BBB">
        <w:rPr>
          <w:rFonts w:ascii="Times New Roman" w:hAnsi="Times New Roman" w:cs="Times New Roman"/>
        </w:rPr>
        <w:t>creed that “</w:t>
      </w:r>
      <w:r w:rsidR="00443BBB" w:rsidRPr="00443BBB">
        <w:rPr>
          <w:rFonts w:ascii="Times New Roman" w:hAnsi="Times New Roman" w:cs="Times New Roman"/>
          <w:i/>
        </w:rPr>
        <w:t>t</w:t>
      </w:r>
      <w:r w:rsidRPr="00443BBB">
        <w:rPr>
          <w:rFonts w:ascii="Times New Roman" w:hAnsi="Times New Roman" w:cs="Times New Roman"/>
          <w:i/>
        </w:rPr>
        <w:t xml:space="preserve">he judicial power shall extend to all cases, in </w:t>
      </w:r>
      <w:r w:rsidRPr="00443BBB">
        <w:rPr>
          <w:rFonts w:ascii="Times New Roman" w:hAnsi="Times New Roman" w:cs="Times New Roman"/>
          <w:b/>
          <w:i/>
          <w:u w:val="single"/>
        </w:rPr>
        <w:t>law and equity</w:t>
      </w:r>
      <w:r w:rsidRPr="00443BBB">
        <w:rPr>
          <w:rFonts w:ascii="Times New Roman" w:hAnsi="Times New Roman" w:cs="Times New Roman"/>
          <w:i/>
        </w:rPr>
        <w:t xml:space="preserve">, </w:t>
      </w:r>
      <w:r w:rsidR="00E207E2" w:rsidRPr="00E207E2">
        <w:rPr>
          <w:rFonts w:ascii="Times New Roman" w:hAnsi="Times New Roman" w:cs="Times New Roman"/>
        </w:rPr>
        <w:t>[chancery</w:t>
      </w:r>
      <w:r w:rsidR="00E207E2">
        <w:rPr>
          <w:rFonts w:ascii="Times New Roman" w:hAnsi="Times New Roman" w:cs="Times New Roman"/>
        </w:rPr>
        <w:t xml:space="preserve"> being contradictive was not included</w:t>
      </w:r>
      <w:r w:rsidR="00E207E2" w:rsidRPr="00E207E2">
        <w:rPr>
          <w:rFonts w:ascii="Times New Roman" w:hAnsi="Times New Roman" w:cs="Times New Roman"/>
        </w:rPr>
        <w:t>]</w:t>
      </w:r>
      <w:r w:rsidR="00E207E2">
        <w:rPr>
          <w:rFonts w:ascii="Times New Roman" w:hAnsi="Times New Roman" w:cs="Times New Roman"/>
          <w:i/>
        </w:rPr>
        <w:t xml:space="preserve"> </w:t>
      </w:r>
      <w:r w:rsidRPr="00443BBB">
        <w:rPr>
          <w:rFonts w:ascii="Times New Roman" w:hAnsi="Times New Roman" w:cs="Times New Roman"/>
          <w:i/>
        </w:rPr>
        <w:t>arising under this Constitution, the laws of the United States, and treaties made, or which shall be made, under their authority</w:t>
      </w:r>
      <w:r w:rsidR="00443BBB">
        <w:rPr>
          <w:rFonts w:ascii="Times New Roman" w:hAnsi="Times New Roman" w:cs="Times New Roman"/>
        </w:rPr>
        <w:t>”</w:t>
      </w:r>
      <w:r w:rsidRPr="00B32C77">
        <w:rPr>
          <w:rFonts w:ascii="Times New Roman" w:hAnsi="Times New Roman" w:cs="Times New Roman"/>
        </w:rPr>
        <w:t>;</w:t>
      </w:r>
      <w:r w:rsidR="00443BBB">
        <w:rPr>
          <w:rFonts w:ascii="Times New Roman" w:hAnsi="Times New Roman" w:cs="Times New Roman"/>
        </w:rPr>
        <w:t xml:space="preserve"> And </w:t>
      </w:r>
      <w:r w:rsidR="00443BBB" w:rsidRPr="00941439">
        <w:rPr>
          <w:rFonts w:ascii="Times New Roman" w:hAnsi="Times New Roman" w:cs="Times New Roman"/>
          <w:u w:val="single"/>
        </w:rPr>
        <w:t>Article VI Paragraph 2</w:t>
      </w:r>
      <w:r w:rsidR="00443BBB" w:rsidRPr="007A34F7">
        <w:rPr>
          <w:rFonts w:ascii="Times New Roman" w:hAnsi="Times New Roman" w:cs="Times New Roman"/>
        </w:rPr>
        <w:t xml:space="preserve"> </w:t>
      </w:r>
      <w:r w:rsidR="007A34F7" w:rsidRPr="007A34F7">
        <w:rPr>
          <w:rFonts w:ascii="Times New Roman" w:hAnsi="Times New Roman" w:cs="Times New Roman"/>
        </w:rPr>
        <w:t xml:space="preserve">reinforces </w:t>
      </w:r>
      <w:r w:rsidR="007A34F7">
        <w:rPr>
          <w:rFonts w:ascii="Times New Roman" w:hAnsi="Times New Roman" w:cs="Times New Roman"/>
        </w:rPr>
        <w:t xml:space="preserve">that congress can </w:t>
      </w:r>
      <w:r w:rsidR="00546613" w:rsidRPr="007A34F7">
        <w:rPr>
          <w:rFonts w:ascii="Times New Roman" w:hAnsi="Times New Roman" w:cs="Times New Roman"/>
        </w:rPr>
        <w:t xml:space="preserve">only </w:t>
      </w:r>
      <w:r w:rsidR="007A34F7">
        <w:rPr>
          <w:rFonts w:ascii="Times New Roman" w:hAnsi="Times New Roman" w:cs="Times New Roman"/>
        </w:rPr>
        <w:t xml:space="preserve">create </w:t>
      </w:r>
      <w:r w:rsidR="00546613" w:rsidRPr="007A34F7">
        <w:rPr>
          <w:rFonts w:ascii="Times New Roman" w:hAnsi="Times New Roman" w:cs="Times New Roman"/>
        </w:rPr>
        <w:t xml:space="preserve">constitutional </w:t>
      </w:r>
      <w:r w:rsidR="00546613">
        <w:rPr>
          <w:rFonts w:ascii="Times New Roman" w:hAnsi="Times New Roman" w:cs="Times New Roman"/>
        </w:rPr>
        <w:t>court</w:t>
      </w:r>
      <w:r w:rsidR="00491CE3">
        <w:rPr>
          <w:rFonts w:ascii="Times New Roman" w:hAnsi="Times New Roman" w:cs="Times New Roman"/>
        </w:rPr>
        <w:t>s</w:t>
      </w:r>
      <w:r w:rsidR="00546613">
        <w:rPr>
          <w:rFonts w:ascii="Times New Roman" w:hAnsi="Times New Roman" w:cs="Times New Roman"/>
        </w:rPr>
        <w:t xml:space="preserve"> </w:t>
      </w:r>
      <w:r w:rsidR="007A34F7">
        <w:rPr>
          <w:rFonts w:ascii="Times New Roman" w:hAnsi="Times New Roman" w:cs="Times New Roman"/>
        </w:rPr>
        <w:t>functioning</w:t>
      </w:r>
      <w:r w:rsidR="00546613">
        <w:rPr>
          <w:rFonts w:ascii="Times New Roman" w:hAnsi="Times New Roman" w:cs="Times New Roman"/>
        </w:rPr>
        <w:t xml:space="preserve"> under the law of the land, whereas we read “</w:t>
      </w:r>
      <w:r w:rsidR="00443BBB" w:rsidRPr="00546613">
        <w:rPr>
          <w:rFonts w:ascii="Times New Roman" w:hAnsi="Times New Roman" w:cs="Times New Roman"/>
          <w:i/>
        </w:rPr>
        <w:t xml:space="preserve">This Constitution, and the laws of the United States which shall be made in pursuance thereof; and all treaties made, or which shall be made, under the authority of the United States, shall be the supreme </w:t>
      </w:r>
      <w:r w:rsidR="00443BBB" w:rsidRPr="00546613">
        <w:rPr>
          <w:rFonts w:ascii="Times New Roman" w:hAnsi="Times New Roman" w:cs="Times New Roman"/>
          <w:b/>
          <w:i/>
          <w:u w:val="single"/>
        </w:rPr>
        <w:t>law of the land</w:t>
      </w:r>
      <w:r w:rsidR="0072601D">
        <w:rPr>
          <w:rStyle w:val="FootnoteReference"/>
          <w:rFonts w:ascii="Times New Roman" w:hAnsi="Times New Roman" w:cs="Times New Roman"/>
          <w:b/>
          <w:i/>
          <w:u w:val="single"/>
        </w:rPr>
        <w:footnoteReference w:id="3"/>
      </w:r>
      <w:r w:rsidR="00443BBB" w:rsidRPr="00546613">
        <w:rPr>
          <w:rFonts w:ascii="Times New Roman" w:hAnsi="Times New Roman" w:cs="Times New Roman"/>
          <w:i/>
        </w:rPr>
        <w:t>; and the judges in every state shall be bound thereby, anything in the Constitution or laws of any State to the contrary notwithstanding</w:t>
      </w:r>
      <w:r w:rsidR="00546613">
        <w:rPr>
          <w:rFonts w:ascii="Times New Roman" w:hAnsi="Times New Roman" w:cs="Times New Roman"/>
        </w:rPr>
        <w:t>”</w:t>
      </w:r>
      <w:r w:rsidR="00443BBB" w:rsidRPr="00EA1236">
        <w:rPr>
          <w:rFonts w:ascii="Times New Roman" w:hAnsi="Times New Roman" w:cs="Times New Roman"/>
        </w:rPr>
        <w:t>.</w:t>
      </w:r>
    </w:p>
    <w:p w:rsidR="00E207E2" w:rsidRDefault="00945F91" w:rsidP="00B32C77">
      <w:pPr>
        <w:jc w:val="both"/>
        <w:rPr>
          <w:rFonts w:ascii="Times New Roman" w:hAnsi="Times New Roman" w:cs="Times New Roman"/>
        </w:rPr>
      </w:pPr>
      <w:r>
        <w:rPr>
          <w:rFonts w:ascii="Times New Roman" w:hAnsi="Times New Roman" w:cs="Times New Roman"/>
        </w:rPr>
        <w:t>“</w:t>
      </w:r>
      <w:r w:rsidR="00E207E2" w:rsidRPr="00945F91">
        <w:rPr>
          <w:rFonts w:ascii="Times New Roman" w:hAnsi="Times New Roman" w:cs="Times New Roman"/>
          <w:i/>
        </w:rPr>
        <w:t xml:space="preserve">Equity courts administer justice according to the system of </w:t>
      </w:r>
      <w:proofErr w:type="gramStart"/>
      <w:r w:rsidR="00E207E2" w:rsidRPr="00945F91">
        <w:rPr>
          <w:rFonts w:ascii="Times New Roman" w:hAnsi="Times New Roman" w:cs="Times New Roman"/>
          <w:i/>
        </w:rPr>
        <w:t>equity</w:t>
      </w:r>
      <w:r w:rsidRPr="00945F91">
        <w:rPr>
          <w:rStyle w:val="FootnoteReference"/>
          <w:rFonts w:ascii="Times New Roman" w:hAnsi="Times New Roman" w:cs="Times New Roman"/>
          <w:i/>
        </w:rPr>
        <w:footnoteReference w:id="4"/>
      </w:r>
      <w:r w:rsidR="00E207E2" w:rsidRPr="00945F91">
        <w:rPr>
          <w:rFonts w:ascii="Times New Roman" w:hAnsi="Times New Roman" w:cs="Times New Roman"/>
          <w:i/>
        </w:rPr>
        <w:t>,</w:t>
      </w:r>
      <w:proofErr w:type="gramEnd"/>
      <w:r w:rsidR="00E207E2" w:rsidRPr="00945F91">
        <w:rPr>
          <w:rFonts w:ascii="Times New Roman" w:hAnsi="Times New Roman" w:cs="Times New Roman"/>
          <w:i/>
        </w:rPr>
        <w:t xml:space="preserve"> and according to a peculiar course of procedure or practice</w:t>
      </w:r>
      <w:r w:rsidR="00A46CE5">
        <w:rPr>
          <w:rStyle w:val="FootnoteReference"/>
          <w:rFonts w:ascii="Times New Roman" w:hAnsi="Times New Roman" w:cs="Times New Roman"/>
          <w:i/>
        </w:rPr>
        <w:footnoteReference w:id="5"/>
      </w:r>
      <w:r w:rsidR="00E207E2" w:rsidRPr="00E207E2">
        <w:rPr>
          <w:rFonts w:ascii="Times New Roman" w:hAnsi="Times New Roman" w:cs="Times New Roman"/>
        </w:rPr>
        <w:t>"</w:t>
      </w:r>
      <w:r w:rsidR="00E207E2">
        <w:rPr>
          <w:rFonts w:ascii="Times New Roman" w:hAnsi="Times New Roman" w:cs="Times New Roman"/>
        </w:rPr>
        <w:t xml:space="preserve">. This procedure or practice could be under the rules of chancery </w:t>
      </w:r>
      <w:r>
        <w:rPr>
          <w:rFonts w:ascii="Times New Roman" w:hAnsi="Times New Roman" w:cs="Times New Roman"/>
        </w:rPr>
        <w:t>or the rules of common law</w:t>
      </w:r>
      <w:r w:rsidR="00133EB6">
        <w:rPr>
          <w:rFonts w:ascii="Times New Roman" w:hAnsi="Times New Roman" w:cs="Times New Roman"/>
        </w:rPr>
        <w:t>,</w:t>
      </w:r>
      <w:r>
        <w:rPr>
          <w:rFonts w:ascii="Times New Roman" w:hAnsi="Times New Roman" w:cs="Times New Roman"/>
        </w:rPr>
        <w:t xml:space="preserve"> the latter was </w:t>
      </w:r>
      <w:proofErr w:type="gramStart"/>
      <w:r w:rsidR="008305C0" w:rsidRPr="008305C0">
        <w:rPr>
          <w:rFonts w:ascii="Old English Text MT" w:hAnsi="Old English Text MT" w:cs="Times New Roman"/>
        </w:rPr>
        <w:t>D</w:t>
      </w:r>
      <w:r>
        <w:rPr>
          <w:rFonts w:ascii="Times New Roman" w:hAnsi="Times New Roman" w:cs="Times New Roman"/>
        </w:rPr>
        <w:t>ecreed</w:t>
      </w:r>
      <w:proofErr w:type="gramEnd"/>
      <w:r>
        <w:rPr>
          <w:rFonts w:ascii="Times New Roman" w:hAnsi="Times New Roman" w:cs="Times New Roman"/>
        </w:rPr>
        <w:t xml:space="preserve"> by the </w:t>
      </w:r>
      <w:r w:rsidRPr="008305C0">
        <w:rPr>
          <w:rFonts w:ascii="Old English Text MT" w:hAnsi="Old English Text MT" w:cs="Times New Roman"/>
        </w:rPr>
        <w:t>P</w:t>
      </w:r>
      <w:r>
        <w:rPr>
          <w:rFonts w:ascii="Times New Roman" w:hAnsi="Times New Roman" w:cs="Times New Roman"/>
        </w:rPr>
        <w:t>eople</w:t>
      </w:r>
      <w:r w:rsidR="00133EB6">
        <w:rPr>
          <w:rFonts w:ascii="Times New Roman" w:hAnsi="Times New Roman" w:cs="Times New Roman"/>
        </w:rPr>
        <w:t xml:space="preserve"> and</w:t>
      </w:r>
      <w:r>
        <w:rPr>
          <w:rFonts w:ascii="Times New Roman" w:hAnsi="Times New Roman" w:cs="Times New Roman"/>
        </w:rPr>
        <w:t xml:space="preserve"> </w:t>
      </w:r>
      <w:r w:rsidR="00133EB6">
        <w:rPr>
          <w:rFonts w:ascii="Times New Roman" w:hAnsi="Times New Roman" w:cs="Times New Roman"/>
        </w:rPr>
        <w:t>articulated</w:t>
      </w:r>
      <w:r>
        <w:rPr>
          <w:rFonts w:ascii="Times New Roman" w:hAnsi="Times New Roman" w:cs="Times New Roman"/>
        </w:rPr>
        <w:t xml:space="preserve"> under Article VI titled “</w:t>
      </w:r>
      <w:r w:rsidRPr="008305C0">
        <w:rPr>
          <w:rFonts w:ascii="Old English Text MT" w:hAnsi="Old English Text MT" w:cs="Times New Roman"/>
        </w:rPr>
        <w:t>L</w:t>
      </w:r>
      <w:r>
        <w:rPr>
          <w:rFonts w:ascii="Times New Roman" w:hAnsi="Times New Roman" w:cs="Times New Roman"/>
        </w:rPr>
        <w:t xml:space="preserve">aw of the </w:t>
      </w:r>
      <w:r w:rsidR="008305C0" w:rsidRPr="008305C0">
        <w:rPr>
          <w:rFonts w:ascii="Old English Text MT" w:hAnsi="Old English Text MT" w:cs="Times New Roman"/>
        </w:rPr>
        <w:t>L</w:t>
      </w:r>
      <w:r>
        <w:rPr>
          <w:rFonts w:ascii="Times New Roman" w:hAnsi="Times New Roman" w:cs="Times New Roman"/>
        </w:rPr>
        <w:t>and”</w:t>
      </w:r>
      <w:r w:rsidR="00F14DB1">
        <w:rPr>
          <w:rFonts w:ascii="Times New Roman" w:hAnsi="Times New Roman" w:cs="Times New Roman"/>
        </w:rPr>
        <w:t>, the former was</w:t>
      </w:r>
      <w:r w:rsidR="002414A7">
        <w:rPr>
          <w:rFonts w:ascii="Times New Roman" w:hAnsi="Times New Roman" w:cs="Times New Roman"/>
        </w:rPr>
        <w:t xml:space="preserve"> deliberately</w:t>
      </w:r>
      <w:r w:rsidR="00F14DB1">
        <w:rPr>
          <w:rFonts w:ascii="Times New Roman" w:hAnsi="Times New Roman" w:cs="Times New Roman"/>
        </w:rPr>
        <w:t xml:space="preserve"> </w:t>
      </w:r>
      <w:r w:rsidR="002414A7">
        <w:rPr>
          <w:rFonts w:ascii="Times New Roman" w:hAnsi="Times New Roman" w:cs="Times New Roman"/>
        </w:rPr>
        <w:t xml:space="preserve">excluded by the </w:t>
      </w:r>
      <w:r w:rsidR="008305C0" w:rsidRPr="008305C0">
        <w:rPr>
          <w:rFonts w:ascii="Old English Text MT" w:hAnsi="Old English Text MT" w:cs="Times New Roman"/>
        </w:rPr>
        <w:t>P</w:t>
      </w:r>
      <w:r w:rsidR="002414A7">
        <w:rPr>
          <w:rFonts w:ascii="Times New Roman" w:hAnsi="Times New Roman" w:cs="Times New Roman"/>
        </w:rPr>
        <w:t>eople</w:t>
      </w:r>
      <w:r w:rsidR="008305C0">
        <w:rPr>
          <w:rFonts w:ascii="Times New Roman" w:hAnsi="Times New Roman" w:cs="Times New Roman"/>
        </w:rPr>
        <w:t>,</w:t>
      </w:r>
      <w:r w:rsidR="002414A7">
        <w:rPr>
          <w:rFonts w:ascii="Times New Roman" w:hAnsi="Times New Roman" w:cs="Times New Roman"/>
        </w:rPr>
        <w:t xml:space="preserve"> </w:t>
      </w:r>
      <w:r w:rsidR="009B1022">
        <w:rPr>
          <w:rFonts w:ascii="Times New Roman" w:hAnsi="Times New Roman" w:cs="Times New Roman"/>
        </w:rPr>
        <w:t xml:space="preserve">it </w:t>
      </w:r>
      <w:r w:rsidR="002414A7">
        <w:rPr>
          <w:rFonts w:ascii="Times New Roman" w:hAnsi="Times New Roman" w:cs="Times New Roman"/>
        </w:rPr>
        <w:t>being repugnant to common law</w:t>
      </w:r>
      <w:r>
        <w:rPr>
          <w:rFonts w:ascii="Times New Roman" w:hAnsi="Times New Roman" w:cs="Times New Roman"/>
        </w:rPr>
        <w:t>.</w:t>
      </w:r>
    </w:p>
    <w:p w:rsidR="00941439" w:rsidRDefault="007738F6" w:rsidP="00941439">
      <w:pPr>
        <w:jc w:val="both"/>
        <w:rPr>
          <w:rFonts w:ascii="Times New Roman" w:hAnsi="Times New Roman" w:cs="Times New Roman"/>
          <w:b/>
        </w:rPr>
      </w:pPr>
      <w:r w:rsidRPr="007738F6">
        <w:rPr>
          <w:rFonts w:ascii="Times New Roman" w:hAnsi="Times New Roman" w:cs="Times New Roman"/>
        </w:rPr>
        <w:t>In conclusion</w:t>
      </w:r>
      <w:r w:rsidR="00FE53A4" w:rsidRPr="007738F6">
        <w:rPr>
          <w:rFonts w:ascii="Times New Roman" w:hAnsi="Times New Roman" w:cs="Times New Roman"/>
        </w:rPr>
        <w:t xml:space="preserve"> all United States District Courts </w:t>
      </w:r>
      <w:r w:rsidR="006775BF" w:rsidRPr="007738F6">
        <w:rPr>
          <w:rFonts w:ascii="Times New Roman" w:hAnsi="Times New Roman" w:cs="Times New Roman"/>
        </w:rPr>
        <w:t>are</w:t>
      </w:r>
      <w:r w:rsidR="00FE53A4" w:rsidRPr="007738F6">
        <w:rPr>
          <w:rFonts w:ascii="Times New Roman" w:hAnsi="Times New Roman" w:cs="Times New Roman"/>
        </w:rPr>
        <w:t xml:space="preserve"> Courts of Law</w:t>
      </w:r>
      <w:r w:rsidR="00FE53A4" w:rsidRPr="007738F6">
        <w:rPr>
          <w:rStyle w:val="FootnoteReference"/>
          <w:rFonts w:ascii="Times New Roman" w:hAnsi="Times New Roman" w:cs="Times New Roman"/>
        </w:rPr>
        <w:footnoteReference w:id="6"/>
      </w:r>
      <w:r w:rsidR="00FE53A4" w:rsidRPr="007738F6">
        <w:rPr>
          <w:rFonts w:ascii="Times New Roman" w:hAnsi="Times New Roman" w:cs="Times New Roman"/>
        </w:rPr>
        <w:t xml:space="preserve"> and must proceed under common law and not chancery</w:t>
      </w:r>
      <w:r w:rsidR="00232887" w:rsidRPr="007738F6">
        <w:rPr>
          <w:rFonts w:ascii="Times New Roman" w:hAnsi="Times New Roman" w:cs="Times New Roman"/>
        </w:rPr>
        <w:t xml:space="preserve">, thereby finding the 1789 Judiciary Act </w:t>
      </w:r>
      <w:r w:rsidR="00FE53A4" w:rsidRPr="007738F6">
        <w:rPr>
          <w:rFonts w:ascii="Times New Roman" w:hAnsi="Times New Roman" w:cs="Times New Roman"/>
        </w:rPr>
        <w:t>Chapter XX Section 15</w:t>
      </w:r>
      <w:r w:rsidR="00232887" w:rsidRPr="007738F6">
        <w:rPr>
          <w:rFonts w:ascii="Times New Roman" w:hAnsi="Times New Roman" w:cs="Times New Roman"/>
        </w:rPr>
        <w:t xml:space="preserve"> null and void whereas the legislators</w:t>
      </w:r>
      <w:r w:rsidR="006775BF" w:rsidRPr="007738F6">
        <w:rPr>
          <w:rFonts w:ascii="Times New Roman" w:hAnsi="Times New Roman" w:cs="Times New Roman"/>
        </w:rPr>
        <w:t xml:space="preserve"> exceeded their authority when they </w:t>
      </w:r>
      <w:r w:rsidR="005A1045" w:rsidRPr="007738F6">
        <w:rPr>
          <w:rFonts w:ascii="Times New Roman" w:hAnsi="Times New Roman" w:cs="Times New Roman"/>
        </w:rPr>
        <w:t xml:space="preserve">unlawfully </w:t>
      </w:r>
      <w:r w:rsidR="00232887" w:rsidRPr="007738F6">
        <w:rPr>
          <w:rFonts w:ascii="Times New Roman" w:hAnsi="Times New Roman" w:cs="Times New Roman"/>
        </w:rPr>
        <w:t xml:space="preserve">gave the </w:t>
      </w:r>
      <w:r>
        <w:rPr>
          <w:rFonts w:ascii="Times New Roman" w:hAnsi="Times New Roman" w:cs="Times New Roman"/>
        </w:rPr>
        <w:t>jud</w:t>
      </w:r>
      <w:r w:rsidR="002414A7">
        <w:rPr>
          <w:rFonts w:ascii="Times New Roman" w:hAnsi="Times New Roman" w:cs="Times New Roman"/>
        </w:rPr>
        <w:t>iciary</w:t>
      </w:r>
      <w:r w:rsidR="00232887" w:rsidRPr="007738F6">
        <w:rPr>
          <w:rFonts w:ascii="Times New Roman" w:hAnsi="Times New Roman" w:cs="Times New Roman"/>
        </w:rPr>
        <w:t xml:space="preserve"> “POWER” to proceed according to the </w:t>
      </w:r>
      <w:r>
        <w:rPr>
          <w:rFonts w:ascii="Times New Roman" w:hAnsi="Times New Roman" w:cs="Times New Roman"/>
        </w:rPr>
        <w:t>“</w:t>
      </w:r>
      <w:r w:rsidR="00232887" w:rsidRPr="007738F6">
        <w:rPr>
          <w:rFonts w:ascii="Times New Roman" w:hAnsi="Times New Roman" w:cs="Times New Roman"/>
        </w:rPr>
        <w:t>rules of chancery</w:t>
      </w:r>
      <w:r>
        <w:rPr>
          <w:rFonts w:ascii="Times New Roman" w:hAnsi="Times New Roman" w:cs="Times New Roman"/>
        </w:rPr>
        <w:t>”</w:t>
      </w:r>
      <w:r w:rsidR="00133EB6" w:rsidRPr="007738F6">
        <w:rPr>
          <w:rFonts w:ascii="Times New Roman" w:hAnsi="Times New Roman" w:cs="Times New Roman"/>
        </w:rPr>
        <w:t xml:space="preserve"> contrary to law</w:t>
      </w:r>
      <w:r>
        <w:rPr>
          <w:rFonts w:ascii="Times New Roman" w:hAnsi="Times New Roman" w:cs="Times New Roman"/>
        </w:rPr>
        <w:t>.</w:t>
      </w:r>
      <w:r w:rsidR="00E84C7B" w:rsidRPr="007738F6">
        <w:rPr>
          <w:rFonts w:ascii="Times New Roman" w:hAnsi="Times New Roman" w:cs="Times New Roman"/>
        </w:rPr>
        <w:t xml:space="preserve"> </w:t>
      </w:r>
      <w:r>
        <w:rPr>
          <w:rFonts w:ascii="Times New Roman" w:hAnsi="Times New Roman" w:cs="Times New Roman"/>
        </w:rPr>
        <w:t xml:space="preserve">This </w:t>
      </w:r>
      <w:r w:rsidR="006719D0">
        <w:rPr>
          <w:rFonts w:ascii="Times New Roman" w:hAnsi="Times New Roman" w:cs="Times New Roman"/>
        </w:rPr>
        <w:t>is</w:t>
      </w:r>
      <w:r>
        <w:rPr>
          <w:rFonts w:ascii="Times New Roman" w:hAnsi="Times New Roman" w:cs="Times New Roman"/>
        </w:rPr>
        <w:t xml:space="preserve"> </w:t>
      </w:r>
      <w:r w:rsidR="002414A7" w:rsidRPr="007738F6">
        <w:rPr>
          <w:rFonts w:ascii="Times New Roman" w:hAnsi="Times New Roman" w:cs="Times New Roman"/>
        </w:rPr>
        <w:t>long-established</w:t>
      </w:r>
      <w:r w:rsidR="006775BF" w:rsidRPr="007738F6">
        <w:rPr>
          <w:rFonts w:ascii="Times New Roman" w:hAnsi="Times New Roman" w:cs="Times New Roman"/>
        </w:rPr>
        <w:t xml:space="preserve"> </w:t>
      </w:r>
      <w:r w:rsidR="00E84C7B" w:rsidRPr="007738F6">
        <w:rPr>
          <w:rFonts w:ascii="Times New Roman" w:hAnsi="Times New Roman" w:cs="Times New Roman"/>
        </w:rPr>
        <w:t xml:space="preserve">in </w:t>
      </w:r>
      <w:r w:rsidR="006775BF" w:rsidRPr="007738F6">
        <w:rPr>
          <w:rFonts w:ascii="Times New Roman" w:hAnsi="Times New Roman" w:cs="Times New Roman"/>
        </w:rPr>
        <w:t>Marbury v Madison</w:t>
      </w:r>
      <w:r w:rsidR="00133EB6" w:rsidRPr="007738F6">
        <w:rPr>
          <w:rFonts w:ascii="Times New Roman" w:hAnsi="Times New Roman" w:cs="Times New Roman"/>
        </w:rPr>
        <w:t xml:space="preserve"> as null and void,</w:t>
      </w:r>
      <w:r w:rsidR="00034BF4" w:rsidRPr="007738F6">
        <w:rPr>
          <w:rFonts w:ascii="Times New Roman" w:hAnsi="Times New Roman" w:cs="Times New Roman"/>
        </w:rPr>
        <w:t xml:space="preserve"> </w:t>
      </w:r>
      <w:r w:rsidRPr="007738F6">
        <w:rPr>
          <w:rFonts w:ascii="Times New Roman" w:hAnsi="Times New Roman" w:cs="Times New Roman"/>
        </w:rPr>
        <w:t>thus</w:t>
      </w:r>
      <w:r w:rsidR="005A1045" w:rsidRPr="007738F6">
        <w:rPr>
          <w:rFonts w:ascii="Times New Roman" w:hAnsi="Times New Roman" w:cs="Times New Roman"/>
        </w:rPr>
        <w:t xml:space="preserve"> </w:t>
      </w:r>
      <w:r w:rsidR="00E84C7B" w:rsidRPr="007738F6">
        <w:rPr>
          <w:rFonts w:ascii="Times New Roman" w:hAnsi="Times New Roman" w:cs="Times New Roman"/>
        </w:rPr>
        <w:t>finding</w:t>
      </w:r>
      <w:r w:rsidR="005A1045" w:rsidRPr="007738F6">
        <w:rPr>
          <w:rFonts w:ascii="Times New Roman" w:hAnsi="Times New Roman" w:cs="Times New Roman"/>
        </w:rPr>
        <w:t xml:space="preserve"> all judges who proceed </w:t>
      </w:r>
      <w:r w:rsidR="00133EB6" w:rsidRPr="007738F6">
        <w:rPr>
          <w:rFonts w:ascii="Times New Roman" w:hAnsi="Times New Roman" w:cs="Times New Roman"/>
        </w:rPr>
        <w:t>according to</w:t>
      </w:r>
      <w:r w:rsidR="00C22E2B" w:rsidRPr="007738F6">
        <w:rPr>
          <w:rFonts w:ascii="Times New Roman" w:hAnsi="Times New Roman" w:cs="Times New Roman"/>
        </w:rPr>
        <w:t xml:space="preserve"> chancery</w:t>
      </w:r>
      <w:r w:rsidR="002414A7">
        <w:rPr>
          <w:rFonts w:ascii="Times New Roman" w:hAnsi="Times New Roman" w:cs="Times New Roman"/>
        </w:rPr>
        <w:t xml:space="preserve"> knowingly </w:t>
      </w:r>
      <w:r w:rsidR="00034BF4" w:rsidRPr="007738F6">
        <w:rPr>
          <w:rFonts w:ascii="Times New Roman" w:hAnsi="Times New Roman" w:cs="Times New Roman"/>
        </w:rPr>
        <w:t>act</w:t>
      </w:r>
      <w:r w:rsidR="002414A7">
        <w:rPr>
          <w:rFonts w:ascii="Times New Roman" w:hAnsi="Times New Roman" w:cs="Times New Roman"/>
        </w:rPr>
        <w:t xml:space="preserve"> </w:t>
      </w:r>
      <w:r w:rsidR="00C22E2B" w:rsidRPr="007738F6">
        <w:rPr>
          <w:rFonts w:ascii="Times New Roman" w:hAnsi="Times New Roman" w:cs="Times New Roman"/>
        </w:rPr>
        <w:t xml:space="preserve">under color of </w:t>
      </w:r>
      <w:r w:rsidR="00C22E2B" w:rsidRPr="007738F6">
        <w:rPr>
          <w:rFonts w:ascii="Times New Roman" w:hAnsi="Times New Roman" w:cs="Times New Roman"/>
        </w:rPr>
        <w:lastRenderedPageBreak/>
        <w:t>law</w:t>
      </w:r>
      <w:r w:rsidR="00C22E2B" w:rsidRPr="007738F6">
        <w:rPr>
          <w:rStyle w:val="FootnoteReference"/>
          <w:rFonts w:ascii="Times New Roman" w:hAnsi="Times New Roman" w:cs="Times New Roman"/>
        </w:rPr>
        <w:footnoteReference w:id="7"/>
      </w:r>
      <w:r w:rsidR="00C22E2B" w:rsidRPr="007738F6">
        <w:rPr>
          <w:rFonts w:ascii="Times New Roman" w:hAnsi="Times New Roman" w:cs="Times New Roman"/>
        </w:rPr>
        <w:t xml:space="preserve"> </w:t>
      </w:r>
      <w:r w:rsidR="00E84C7B" w:rsidRPr="007738F6">
        <w:rPr>
          <w:rFonts w:ascii="Times New Roman" w:hAnsi="Times New Roman" w:cs="Times New Roman"/>
        </w:rPr>
        <w:t xml:space="preserve">thereby </w:t>
      </w:r>
      <w:r w:rsidR="00034BF4" w:rsidRPr="007738F6">
        <w:rPr>
          <w:rFonts w:ascii="Times New Roman" w:hAnsi="Times New Roman" w:cs="Times New Roman"/>
        </w:rPr>
        <w:t xml:space="preserve">hijacking their victims to foreign courts of fiction and are </w:t>
      </w:r>
      <w:r w:rsidR="00C22E2B" w:rsidRPr="007738F6">
        <w:rPr>
          <w:rFonts w:ascii="Times New Roman" w:hAnsi="Times New Roman" w:cs="Times New Roman"/>
        </w:rPr>
        <w:t>in bad behavior</w:t>
      </w:r>
      <w:r w:rsidR="00034BF4" w:rsidRPr="007738F6">
        <w:rPr>
          <w:rFonts w:ascii="Times New Roman" w:hAnsi="Times New Roman" w:cs="Times New Roman"/>
        </w:rPr>
        <w:t xml:space="preserve"> without immunity</w:t>
      </w:r>
      <w:r w:rsidR="006775BF" w:rsidRPr="007738F6">
        <w:rPr>
          <w:rFonts w:ascii="Times New Roman" w:hAnsi="Times New Roman" w:cs="Times New Roman"/>
        </w:rPr>
        <w:t xml:space="preserve">. This </w:t>
      </w:r>
      <w:r w:rsidR="006719D0">
        <w:rPr>
          <w:rFonts w:ascii="Times New Roman" w:hAnsi="Times New Roman" w:cs="Times New Roman"/>
        </w:rPr>
        <w:t>was</w:t>
      </w:r>
      <w:r w:rsidR="006775BF" w:rsidRPr="007738F6">
        <w:rPr>
          <w:rFonts w:ascii="Times New Roman" w:hAnsi="Times New Roman" w:cs="Times New Roman"/>
        </w:rPr>
        <w:t xml:space="preserve"> </w:t>
      </w:r>
      <w:r w:rsidR="002414A7" w:rsidRPr="007738F6">
        <w:rPr>
          <w:rFonts w:ascii="Times New Roman" w:hAnsi="Times New Roman" w:cs="Times New Roman"/>
        </w:rPr>
        <w:t xml:space="preserve">make </w:t>
      </w:r>
      <w:r w:rsidR="006719D0">
        <w:rPr>
          <w:rFonts w:ascii="Times New Roman" w:hAnsi="Times New Roman" w:cs="Times New Roman"/>
        </w:rPr>
        <w:t xml:space="preserve">crystal </w:t>
      </w:r>
      <w:r w:rsidR="002414A7" w:rsidRPr="007738F6">
        <w:rPr>
          <w:rFonts w:ascii="Times New Roman" w:hAnsi="Times New Roman" w:cs="Times New Roman"/>
        </w:rPr>
        <w:t>clear</w:t>
      </w:r>
      <w:r w:rsidR="00223CF3" w:rsidRPr="007738F6">
        <w:rPr>
          <w:rFonts w:ascii="Times New Roman" w:hAnsi="Times New Roman" w:cs="Times New Roman"/>
        </w:rPr>
        <w:t xml:space="preserve"> </w:t>
      </w:r>
      <w:r w:rsidR="006719D0">
        <w:rPr>
          <w:rFonts w:ascii="Times New Roman" w:hAnsi="Times New Roman" w:cs="Times New Roman"/>
        </w:rPr>
        <w:t>by</w:t>
      </w:r>
      <w:r w:rsidR="006775BF" w:rsidRPr="007738F6">
        <w:rPr>
          <w:rFonts w:ascii="Times New Roman" w:hAnsi="Times New Roman" w:cs="Times New Roman"/>
        </w:rPr>
        <w:t xml:space="preserve"> the following </w:t>
      </w:r>
      <w:r w:rsidR="006719D0">
        <w:rPr>
          <w:rFonts w:ascii="Times New Roman" w:hAnsi="Times New Roman" w:cs="Times New Roman"/>
        </w:rPr>
        <w:t xml:space="preserve">United States </w:t>
      </w:r>
      <w:r w:rsidR="006775BF" w:rsidRPr="007738F6">
        <w:rPr>
          <w:rFonts w:ascii="Times New Roman" w:hAnsi="Times New Roman" w:cs="Times New Roman"/>
        </w:rPr>
        <w:t xml:space="preserve">Supreme Court </w:t>
      </w:r>
      <w:r w:rsidR="006719D0">
        <w:rPr>
          <w:rFonts w:ascii="Times New Roman" w:hAnsi="Times New Roman" w:cs="Times New Roman"/>
        </w:rPr>
        <w:t>c</w:t>
      </w:r>
      <w:r w:rsidR="006775BF" w:rsidRPr="007738F6">
        <w:rPr>
          <w:rFonts w:ascii="Times New Roman" w:hAnsi="Times New Roman" w:cs="Times New Roman"/>
        </w:rPr>
        <w:t xml:space="preserve">ase </w:t>
      </w:r>
      <w:r w:rsidR="00941439" w:rsidRPr="007738F6">
        <w:rPr>
          <w:rFonts w:ascii="Times New Roman" w:hAnsi="Times New Roman" w:cs="Times New Roman"/>
        </w:rPr>
        <w:t>..."</w:t>
      </w:r>
      <w:r w:rsidR="00941439" w:rsidRPr="007738F6">
        <w:rPr>
          <w:rFonts w:ascii="Times New Roman" w:hAnsi="Times New Roman" w:cs="Times New Roman"/>
          <w:i/>
        </w:rPr>
        <w:t xml:space="preserve">The words </w:t>
      </w:r>
      <w:r w:rsidR="00941439" w:rsidRPr="007738F6">
        <w:rPr>
          <w:rFonts w:ascii="Times New Roman" w:hAnsi="Times New Roman" w:cs="Times New Roman"/>
          <w:b/>
          <w:i/>
          <w:u w:val="single"/>
        </w:rPr>
        <w:t>'district court of the United States' commonly describes constitutional courts created under Article III of the Constitution</w:t>
      </w:r>
      <w:r w:rsidR="00941439" w:rsidRPr="007738F6">
        <w:rPr>
          <w:rFonts w:ascii="Times New Roman" w:hAnsi="Times New Roman" w:cs="Times New Roman"/>
          <w:i/>
        </w:rPr>
        <w:t xml:space="preserve">, not the </w:t>
      </w:r>
      <w:r w:rsidR="00821A89" w:rsidRPr="007738F6">
        <w:rPr>
          <w:rFonts w:ascii="Times New Roman" w:hAnsi="Times New Roman" w:cs="Times New Roman"/>
        </w:rPr>
        <w:t>[unconstitutional]</w:t>
      </w:r>
      <w:r w:rsidR="00821A89" w:rsidRPr="007738F6">
        <w:rPr>
          <w:rFonts w:ascii="Times New Roman" w:hAnsi="Times New Roman" w:cs="Times New Roman"/>
          <w:i/>
        </w:rPr>
        <w:t xml:space="preserve"> </w:t>
      </w:r>
      <w:r w:rsidR="00941439" w:rsidRPr="007738F6">
        <w:rPr>
          <w:rFonts w:ascii="Times New Roman" w:hAnsi="Times New Roman" w:cs="Times New Roman"/>
          <w:i/>
        </w:rPr>
        <w:t>legislative courts</w:t>
      </w:r>
      <w:r w:rsidR="00223CF3" w:rsidRPr="007738F6">
        <w:rPr>
          <w:rFonts w:ascii="Times New Roman" w:hAnsi="Times New Roman" w:cs="Times New Roman"/>
          <w:i/>
        </w:rPr>
        <w:t xml:space="preserve"> </w:t>
      </w:r>
      <w:r w:rsidR="00223CF3" w:rsidRPr="007738F6">
        <w:rPr>
          <w:rFonts w:ascii="Times New Roman" w:hAnsi="Times New Roman" w:cs="Times New Roman"/>
        </w:rPr>
        <w:t>[operating under chancery]</w:t>
      </w:r>
      <w:r w:rsidR="00941439" w:rsidRPr="007738F6">
        <w:rPr>
          <w:rFonts w:ascii="Times New Roman" w:hAnsi="Times New Roman" w:cs="Times New Roman"/>
          <w:i/>
        </w:rPr>
        <w:t xml:space="preserve"> which have long been the courts of the Territories</w:t>
      </w:r>
      <w:r w:rsidR="00A46CE5">
        <w:rPr>
          <w:rStyle w:val="FootnoteReference"/>
          <w:rFonts w:ascii="Times New Roman" w:hAnsi="Times New Roman" w:cs="Times New Roman"/>
          <w:i/>
        </w:rPr>
        <w:footnoteReference w:id="8"/>
      </w:r>
      <w:r w:rsidR="00941439" w:rsidRPr="007738F6">
        <w:rPr>
          <w:rFonts w:ascii="Times New Roman" w:hAnsi="Times New Roman" w:cs="Times New Roman"/>
        </w:rPr>
        <w:t>.</w:t>
      </w:r>
      <w:r w:rsidR="00223CF3" w:rsidRPr="007738F6">
        <w:rPr>
          <w:rFonts w:ascii="Times New Roman" w:hAnsi="Times New Roman" w:cs="Times New Roman"/>
        </w:rPr>
        <w:t>”</w:t>
      </w:r>
    </w:p>
    <w:p w:rsidR="00E346B3" w:rsidRDefault="00E346B3" w:rsidP="00941439">
      <w:pPr>
        <w:jc w:val="both"/>
        <w:rPr>
          <w:rFonts w:ascii="Times New Roman" w:hAnsi="Times New Roman" w:cs="Times New Roman"/>
        </w:rPr>
      </w:pPr>
      <w:r w:rsidRPr="00E346B3">
        <w:rPr>
          <w:rFonts w:ascii="Times New Roman" w:hAnsi="Times New Roman" w:cs="Times New Roman"/>
          <w:b/>
          <w:u w:val="single"/>
        </w:rPr>
        <w:t>FOR CAUSE</w:t>
      </w:r>
      <w:r w:rsidRPr="005F2749">
        <w:rPr>
          <w:rStyle w:val="FootnoteReference"/>
          <w:rFonts w:ascii="Times New Roman" w:hAnsi="Times New Roman" w:cs="Times New Roman"/>
          <w:b/>
          <w:u w:val="single"/>
        </w:rPr>
        <w:footnoteReference w:id="9"/>
      </w:r>
      <w:r w:rsidRPr="005F2749">
        <w:rPr>
          <w:rFonts w:ascii="Times New Roman" w:hAnsi="Times New Roman" w:cs="Times New Roman"/>
          <w:b/>
          <w:u w:val="single"/>
        </w:rPr>
        <w:t xml:space="preserve"> </w:t>
      </w:r>
      <w:r w:rsidR="005F2749" w:rsidRPr="005F2749">
        <w:rPr>
          <w:rFonts w:ascii="Times New Roman" w:hAnsi="Times New Roman" w:cs="Times New Roman"/>
          <w:b/>
          <w:u w:val="single"/>
        </w:rPr>
        <w:t xml:space="preserve">and </w:t>
      </w:r>
      <w:r w:rsidR="009B1022">
        <w:rPr>
          <w:rFonts w:ascii="Times New Roman" w:hAnsi="Times New Roman" w:cs="Times New Roman"/>
          <w:b/>
          <w:u w:val="single"/>
        </w:rPr>
        <w:t xml:space="preserve">LAWFUL </w:t>
      </w:r>
      <w:r w:rsidR="005F2749" w:rsidRPr="005F2749">
        <w:rPr>
          <w:rFonts w:ascii="Times New Roman" w:hAnsi="Times New Roman" w:cs="Times New Roman"/>
          <w:b/>
          <w:u w:val="single"/>
        </w:rPr>
        <w:t>REMEDY</w:t>
      </w:r>
      <w:r w:rsidR="005F2749">
        <w:rPr>
          <w:rStyle w:val="FootnoteReference"/>
          <w:rFonts w:ascii="Times New Roman" w:hAnsi="Times New Roman" w:cs="Times New Roman"/>
          <w:b/>
          <w:u w:val="single"/>
        </w:rPr>
        <w:footnoteReference w:id="10"/>
      </w:r>
      <w:r w:rsidR="005F2749">
        <w:rPr>
          <w:rFonts w:ascii="Times New Roman" w:hAnsi="Times New Roman" w:cs="Times New Roman"/>
        </w:rPr>
        <w:t xml:space="preserve"> </w:t>
      </w:r>
      <w:r>
        <w:rPr>
          <w:rFonts w:ascii="Times New Roman" w:hAnsi="Times New Roman" w:cs="Times New Roman"/>
        </w:rPr>
        <w:t>-</w:t>
      </w:r>
      <w:r w:rsidR="006719D0">
        <w:rPr>
          <w:rFonts w:ascii="Times New Roman" w:hAnsi="Times New Roman" w:cs="Times New Roman"/>
        </w:rPr>
        <w:t xml:space="preserve"> </w:t>
      </w:r>
      <w:r w:rsidR="00E07525">
        <w:rPr>
          <w:rFonts w:ascii="Times New Roman" w:hAnsi="Times New Roman" w:cs="Times New Roman"/>
        </w:rPr>
        <w:t>V</w:t>
      </w:r>
      <w:r w:rsidR="006719D0">
        <w:rPr>
          <w:rFonts w:ascii="Times New Roman" w:hAnsi="Times New Roman" w:cs="Times New Roman"/>
        </w:rPr>
        <w:t>iolation of Due Process of Law</w:t>
      </w:r>
      <w:r w:rsidR="00E07525">
        <w:rPr>
          <w:rFonts w:ascii="Times New Roman" w:hAnsi="Times New Roman" w:cs="Times New Roman"/>
        </w:rPr>
        <w:t xml:space="preserve"> under color of Law:</w:t>
      </w:r>
      <w:bookmarkStart w:id="0" w:name="_GoBack"/>
      <w:bookmarkEnd w:id="0"/>
    </w:p>
    <w:p w:rsidR="00112741" w:rsidRPr="00F6772E" w:rsidRDefault="0067037D" w:rsidP="0067037D">
      <w:pPr>
        <w:jc w:val="both"/>
        <w:rPr>
          <w:rFonts w:ascii="Times New Roman" w:hAnsi="Times New Roman" w:cs="Times New Roman"/>
        </w:rPr>
      </w:pPr>
      <w:r w:rsidRPr="00F6772E">
        <w:rPr>
          <w:rFonts w:ascii="Times New Roman" w:hAnsi="Times New Roman" w:cs="Times New Roman"/>
        </w:rPr>
        <w:t>“</w:t>
      </w:r>
      <w:r w:rsidRPr="00F6772E">
        <w:rPr>
          <w:rFonts w:ascii="Times New Roman" w:hAnsi="Times New Roman" w:cs="Times New Roman"/>
          <w:i/>
        </w:rPr>
        <w:t>William Blackstone - a legal maxim - Every right when with-held must have a remedy, and every injury it’s proper redress</w:t>
      </w:r>
      <w:r w:rsidRPr="00F6772E">
        <w:rPr>
          <w:rStyle w:val="FootnoteReference"/>
          <w:rFonts w:ascii="Times New Roman" w:hAnsi="Times New Roman" w:cs="Times New Roman"/>
          <w:i/>
        </w:rPr>
        <w:footnoteReference w:id="11"/>
      </w:r>
      <w:r w:rsidRPr="00F6772E">
        <w:rPr>
          <w:rFonts w:ascii="Times New Roman" w:hAnsi="Times New Roman" w:cs="Times New Roman"/>
          <w:i/>
        </w:rPr>
        <w:t xml:space="preserve">.” … </w:t>
      </w:r>
      <w:r w:rsidRPr="00F6772E">
        <w:rPr>
          <w:rFonts w:ascii="Times New Roman" w:hAnsi="Times New Roman" w:cs="Times New Roman"/>
        </w:rPr>
        <w:t xml:space="preserve"> “</w:t>
      </w:r>
      <w:r w:rsidRPr="00F6772E">
        <w:rPr>
          <w:rFonts w:ascii="Times New Roman" w:hAnsi="Times New Roman" w:cs="Times New Roman"/>
          <w:i/>
        </w:rPr>
        <w:t>Indeed, no more than</w:t>
      </w:r>
      <w:r w:rsidR="006719D0">
        <w:rPr>
          <w:rFonts w:ascii="Times New Roman" w:hAnsi="Times New Roman" w:cs="Times New Roman"/>
          <w:i/>
        </w:rPr>
        <w:t xml:space="preserve"> an</w:t>
      </w:r>
      <w:r w:rsidRPr="00F6772E">
        <w:rPr>
          <w:rFonts w:ascii="Times New Roman" w:hAnsi="Times New Roman" w:cs="Times New Roman"/>
          <w:i/>
        </w:rPr>
        <w:t xml:space="preserve"> affidavit is necessary to make the prima facie case</w:t>
      </w:r>
      <w:r w:rsidRPr="00F6772E">
        <w:rPr>
          <w:rStyle w:val="FootnoteReference"/>
          <w:rFonts w:ascii="Times New Roman" w:hAnsi="Times New Roman" w:cs="Times New Roman"/>
        </w:rPr>
        <w:footnoteReference w:id="12"/>
      </w:r>
      <w:r w:rsidRPr="00F6772E">
        <w:rPr>
          <w:rFonts w:ascii="Times New Roman" w:hAnsi="Times New Roman" w:cs="Times New Roman"/>
        </w:rPr>
        <w:t xml:space="preserve">.” </w:t>
      </w:r>
      <w:r w:rsidR="0013592A" w:rsidRPr="00F6772E">
        <w:rPr>
          <w:rFonts w:ascii="Times New Roman" w:hAnsi="Times New Roman" w:cs="Times New Roman"/>
        </w:rPr>
        <w:t xml:space="preserve">By the authority of </w:t>
      </w:r>
      <w:r w:rsidR="0013592A" w:rsidRPr="00F6772E">
        <w:rPr>
          <w:rFonts w:ascii="Times New Roman" w:hAnsi="Times New Roman" w:cs="Times New Roman"/>
          <w:u w:val="single"/>
        </w:rPr>
        <w:t>Article III Section 2</w:t>
      </w:r>
      <w:r w:rsidR="0013592A" w:rsidRPr="00F6772E">
        <w:rPr>
          <w:rFonts w:ascii="Times New Roman" w:hAnsi="Times New Roman" w:cs="Times New Roman"/>
        </w:rPr>
        <w:t xml:space="preserve"> f</w:t>
      </w:r>
      <w:r w:rsidR="002414A7" w:rsidRPr="00F6772E">
        <w:rPr>
          <w:rFonts w:ascii="Times New Roman" w:hAnsi="Times New Roman" w:cs="Times New Roman"/>
        </w:rPr>
        <w:t>ederal district Article III courts</w:t>
      </w:r>
      <w:r w:rsidR="009977F0" w:rsidRPr="00F6772E">
        <w:rPr>
          <w:rFonts w:ascii="Times New Roman" w:hAnsi="Times New Roman" w:cs="Times New Roman"/>
        </w:rPr>
        <w:t xml:space="preserve"> of record</w:t>
      </w:r>
      <w:r w:rsidR="002414A7" w:rsidRPr="00F6772E">
        <w:rPr>
          <w:rFonts w:ascii="Times New Roman" w:hAnsi="Times New Roman" w:cs="Times New Roman"/>
        </w:rPr>
        <w:t xml:space="preserve"> have jurisdiction </w:t>
      </w:r>
      <w:r w:rsidR="009977F0" w:rsidRPr="00F6772E">
        <w:rPr>
          <w:rFonts w:ascii="Times New Roman" w:hAnsi="Times New Roman" w:cs="Times New Roman"/>
        </w:rPr>
        <w:t>in</w:t>
      </w:r>
      <w:r w:rsidR="004660A7" w:rsidRPr="00F6772E">
        <w:rPr>
          <w:rFonts w:ascii="Times New Roman" w:hAnsi="Times New Roman" w:cs="Times New Roman"/>
        </w:rPr>
        <w:t xml:space="preserve"> </w:t>
      </w:r>
      <w:r w:rsidR="009977F0" w:rsidRPr="00F6772E">
        <w:rPr>
          <w:rFonts w:ascii="Times New Roman" w:hAnsi="Times New Roman" w:cs="Times New Roman"/>
        </w:rPr>
        <w:t>“</w:t>
      </w:r>
      <w:r w:rsidR="004660A7" w:rsidRPr="00F6772E">
        <w:rPr>
          <w:rFonts w:ascii="Times New Roman" w:hAnsi="Times New Roman" w:cs="Times New Roman"/>
          <w:i/>
        </w:rPr>
        <w:t>all cases, in law and equity, arising under this Constitution, the laws of the United States, and treaties made, or which shall be made, under their authority</w:t>
      </w:r>
      <w:r w:rsidR="004660A7" w:rsidRPr="00F6772E">
        <w:rPr>
          <w:rFonts w:ascii="Times New Roman" w:hAnsi="Times New Roman" w:cs="Times New Roman"/>
        </w:rPr>
        <w:t>;</w:t>
      </w:r>
      <w:r w:rsidR="009977F0" w:rsidRPr="00F6772E">
        <w:rPr>
          <w:rFonts w:ascii="Times New Roman" w:hAnsi="Times New Roman" w:cs="Times New Roman"/>
        </w:rPr>
        <w:t>”</w:t>
      </w:r>
      <w:r w:rsidR="00E346B3" w:rsidRPr="00F6772E">
        <w:rPr>
          <w:rFonts w:ascii="Times New Roman" w:hAnsi="Times New Roman" w:cs="Times New Roman"/>
        </w:rPr>
        <w:t xml:space="preserve"> </w:t>
      </w:r>
      <w:r w:rsidR="009977F0" w:rsidRPr="00F6772E">
        <w:rPr>
          <w:rFonts w:ascii="Times New Roman" w:hAnsi="Times New Roman" w:cs="Times New Roman"/>
        </w:rPr>
        <w:t xml:space="preserve">- Therefore under Amendment V it is the constitutional </w:t>
      </w:r>
      <w:r w:rsidR="00EA25FA" w:rsidRPr="00F6772E">
        <w:rPr>
          <w:rFonts w:ascii="Times New Roman" w:hAnsi="Times New Roman" w:cs="Times New Roman"/>
        </w:rPr>
        <w:t xml:space="preserve">jurisdiction and </w:t>
      </w:r>
      <w:r w:rsidR="009977F0" w:rsidRPr="00F6772E">
        <w:rPr>
          <w:rFonts w:ascii="Times New Roman" w:hAnsi="Times New Roman" w:cs="Times New Roman"/>
        </w:rPr>
        <w:t>duty of this court to protect People from being deprived of life, liberty, or property, without due process of law</w:t>
      </w:r>
      <w:r w:rsidR="009977F0" w:rsidRPr="00F6772E">
        <w:rPr>
          <w:rStyle w:val="FootnoteReference"/>
          <w:rFonts w:ascii="Times New Roman" w:hAnsi="Times New Roman" w:cs="Times New Roman"/>
        </w:rPr>
        <w:footnoteReference w:id="13"/>
      </w:r>
      <w:r w:rsidR="009977F0" w:rsidRPr="00F6772E">
        <w:rPr>
          <w:rFonts w:ascii="Times New Roman" w:hAnsi="Times New Roman" w:cs="Times New Roman"/>
        </w:rPr>
        <w:t>; Any Judge or Magistrate that denies said duty</w:t>
      </w:r>
      <w:r w:rsidR="00112741" w:rsidRPr="00F6772E">
        <w:rPr>
          <w:rFonts w:ascii="Times New Roman" w:hAnsi="Times New Roman" w:cs="Times New Roman"/>
        </w:rPr>
        <w:t xml:space="preserve"> under color of law</w:t>
      </w:r>
      <w:r w:rsidR="009977F0" w:rsidRPr="00F6772E">
        <w:rPr>
          <w:rFonts w:ascii="Times New Roman" w:hAnsi="Times New Roman" w:cs="Times New Roman"/>
        </w:rPr>
        <w:t xml:space="preserve"> is guilty of a felony</w:t>
      </w:r>
      <w:r w:rsidR="00112741" w:rsidRPr="00F6772E">
        <w:rPr>
          <w:rFonts w:ascii="Times New Roman" w:hAnsi="Times New Roman" w:cs="Times New Roman"/>
        </w:rPr>
        <w:t>.</w:t>
      </w:r>
    </w:p>
    <w:p w:rsidR="00F6772E" w:rsidRPr="00F6772E" w:rsidRDefault="00F6772E" w:rsidP="00F6772E">
      <w:pPr>
        <w:pStyle w:val="Style"/>
        <w:shd w:val="clear" w:color="auto" w:fill="FFFFFF"/>
        <w:spacing w:after="240" w:line="276" w:lineRule="auto"/>
        <w:ind w:right="14"/>
        <w:jc w:val="both"/>
        <w:rPr>
          <w:sz w:val="22"/>
          <w:szCs w:val="22"/>
        </w:rPr>
      </w:pPr>
      <w:r w:rsidRPr="00F6772E">
        <w:rPr>
          <w:sz w:val="22"/>
          <w:szCs w:val="22"/>
        </w:rPr>
        <w:t xml:space="preserve"> “</w:t>
      </w:r>
      <w:r w:rsidRPr="00F6772E">
        <w:rPr>
          <w:i/>
          <w:sz w:val="22"/>
          <w:szCs w:val="22"/>
        </w:rPr>
        <w:t>In the third volume of his Commentaries, page 23, Blackstone states two cases in which a remedy is afforded by mere operation of law. "In all other cases," he says, it is a general and indisputable rule that where there is a legal right, there is also a legal remedy by suit or action at law whenever that right is invaded. And afterwards, page 109 of the same volume, he says, I am next to consider such injuries as are cognizable by the Courts of common law. And herein I shall for the present only remark that all possible injuries whatsoever that did not fall within the exclusive cognizance of either the ecclesiastical, military, or maritime tribunals are, for that very reason, within the cognizance of the common law courts of justice, for it is a settled and invariable principle in the laws of England that every right, when withheld, must have a remedy, and every injury its proper redress</w:t>
      </w:r>
      <w:r w:rsidRPr="00F6772E">
        <w:rPr>
          <w:rStyle w:val="FootnoteReference"/>
          <w:i/>
          <w:sz w:val="22"/>
          <w:szCs w:val="22"/>
        </w:rPr>
        <w:footnoteReference w:id="14"/>
      </w:r>
      <w:r w:rsidRPr="00F6772E">
        <w:rPr>
          <w:sz w:val="22"/>
          <w:szCs w:val="22"/>
        </w:rPr>
        <w:t xml:space="preserve">"... </w:t>
      </w:r>
    </w:p>
    <w:p w:rsidR="00F6772E" w:rsidRPr="00F6772E" w:rsidRDefault="00F6772E" w:rsidP="00F6772E">
      <w:pPr>
        <w:pStyle w:val="Style"/>
        <w:shd w:val="clear" w:color="auto" w:fill="FFFFFF"/>
        <w:spacing w:after="240" w:line="276" w:lineRule="auto"/>
        <w:ind w:right="14"/>
        <w:jc w:val="both"/>
        <w:rPr>
          <w:sz w:val="22"/>
          <w:szCs w:val="22"/>
        </w:rPr>
      </w:pPr>
      <w:r w:rsidRPr="00F6772E">
        <w:rPr>
          <w:sz w:val="22"/>
          <w:szCs w:val="22"/>
        </w:rPr>
        <w:t>"</w:t>
      </w:r>
      <w:r w:rsidRPr="00F6772E">
        <w:rPr>
          <w:i/>
          <w:sz w:val="22"/>
          <w:szCs w:val="22"/>
        </w:rPr>
        <w:t>The Government of the United States has been emphatically termed a government of laws, and not of men. It will certainly cease to deserve this high appellation if the laws furnish no remedy for the violation of a vested legal right</w:t>
      </w:r>
      <w:r w:rsidRPr="00F6772E">
        <w:rPr>
          <w:rStyle w:val="FootnoteReference"/>
          <w:i/>
          <w:sz w:val="22"/>
          <w:szCs w:val="22"/>
        </w:rPr>
        <w:footnoteReference w:id="15"/>
      </w:r>
      <w:r w:rsidRPr="00F6772E">
        <w:rPr>
          <w:sz w:val="22"/>
          <w:szCs w:val="22"/>
        </w:rPr>
        <w:t xml:space="preserve">." … </w:t>
      </w:r>
      <w:r w:rsidRPr="00F6772E">
        <w:rPr>
          <w:i/>
          <w:sz w:val="22"/>
          <w:szCs w:val="22"/>
        </w:rPr>
        <w:t>that statutes which would deprive a citizen of the rights of person or property without a regular trial, according to the course and usage of common law, would not be the law of the land</w:t>
      </w:r>
      <w:r w:rsidRPr="00F6772E">
        <w:rPr>
          <w:rStyle w:val="FootnoteReference"/>
          <w:i/>
          <w:sz w:val="22"/>
          <w:szCs w:val="22"/>
        </w:rPr>
        <w:footnoteReference w:id="16"/>
      </w:r>
      <w:r w:rsidRPr="00F6772E">
        <w:rPr>
          <w:sz w:val="22"/>
          <w:szCs w:val="22"/>
        </w:rPr>
        <w:t>.” “</w:t>
      </w:r>
      <w:r w:rsidRPr="00F6772E">
        <w:rPr>
          <w:i/>
          <w:sz w:val="22"/>
          <w:szCs w:val="22"/>
        </w:rPr>
        <w:t xml:space="preserve">Henceforth the writ which is called </w:t>
      </w:r>
      <w:r w:rsidRPr="006719D0">
        <w:rPr>
          <w:i/>
          <w:sz w:val="22"/>
          <w:szCs w:val="22"/>
          <w:u w:val="single"/>
        </w:rPr>
        <w:t>Praecipe</w:t>
      </w:r>
      <w:r w:rsidR="006719D0">
        <w:rPr>
          <w:i/>
          <w:sz w:val="22"/>
          <w:szCs w:val="22"/>
        </w:rPr>
        <w:t xml:space="preserve"> </w:t>
      </w:r>
      <w:r w:rsidR="006719D0" w:rsidRPr="006719D0">
        <w:rPr>
          <w:sz w:val="22"/>
          <w:szCs w:val="22"/>
        </w:rPr>
        <w:t>(</w:t>
      </w:r>
      <w:r w:rsidR="006719D0">
        <w:rPr>
          <w:sz w:val="22"/>
          <w:szCs w:val="22"/>
        </w:rPr>
        <w:t>motion to dismiss for any reason</w:t>
      </w:r>
      <w:r w:rsidR="006719D0" w:rsidRPr="006719D0">
        <w:rPr>
          <w:sz w:val="22"/>
          <w:szCs w:val="22"/>
        </w:rPr>
        <w:t>)</w:t>
      </w:r>
      <w:r w:rsidRPr="00F6772E">
        <w:rPr>
          <w:i/>
          <w:sz w:val="22"/>
          <w:szCs w:val="22"/>
        </w:rPr>
        <w:t xml:space="preserve"> shall not be served on any one for any holding so as to cause a free man to lose his court</w:t>
      </w:r>
      <w:r w:rsidRPr="00F6772E">
        <w:rPr>
          <w:rStyle w:val="FootnoteReference"/>
          <w:i/>
          <w:sz w:val="22"/>
          <w:szCs w:val="22"/>
        </w:rPr>
        <w:footnoteReference w:id="17"/>
      </w:r>
      <w:r w:rsidRPr="00F6772E">
        <w:rPr>
          <w:sz w:val="22"/>
          <w:szCs w:val="22"/>
        </w:rPr>
        <w:t>”.</w:t>
      </w:r>
    </w:p>
    <w:sectPr w:rsidR="00F6772E" w:rsidRPr="00F6772E" w:rsidSect="00E33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28" w:rsidRDefault="00624628" w:rsidP="00443BBB">
      <w:pPr>
        <w:spacing w:after="0" w:line="240" w:lineRule="auto"/>
      </w:pPr>
      <w:r>
        <w:separator/>
      </w:r>
    </w:p>
  </w:endnote>
  <w:endnote w:type="continuationSeparator" w:id="0">
    <w:p w:rsidR="00624628" w:rsidRDefault="00624628" w:rsidP="0044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28" w:rsidRDefault="00624628" w:rsidP="00443BBB">
      <w:pPr>
        <w:spacing w:after="0" w:line="240" w:lineRule="auto"/>
      </w:pPr>
      <w:r>
        <w:separator/>
      </w:r>
    </w:p>
  </w:footnote>
  <w:footnote w:type="continuationSeparator" w:id="0">
    <w:p w:rsidR="00624628" w:rsidRDefault="00624628" w:rsidP="00443BBB">
      <w:pPr>
        <w:spacing w:after="0" w:line="240" w:lineRule="auto"/>
      </w:pPr>
      <w:r>
        <w:continuationSeparator/>
      </w:r>
    </w:p>
  </w:footnote>
  <w:footnote w:id="1">
    <w:p w:rsidR="00443BBB" w:rsidRPr="00A46CE5" w:rsidRDefault="00443BBB" w:rsidP="00A46CE5">
      <w:pPr>
        <w:pStyle w:val="FootnoteText"/>
        <w:jc w:val="both"/>
        <w:rPr>
          <w:rFonts w:ascii="Times New Roman" w:hAnsi="Times New Roman" w:cs="Times New Roman"/>
          <w:sz w:val="16"/>
          <w:szCs w:val="16"/>
        </w:rPr>
      </w:pPr>
      <w:r w:rsidRPr="00A46CE5">
        <w:rPr>
          <w:rStyle w:val="FootnoteReference"/>
          <w:rFonts w:ascii="Times New Roman" w:hAnsi="Times New Roman" w:cs="Times New Roman"/>
          <w:b/>
          <w:sz w:val="16"/>
          <w:szCs w:val="16"/>
        </w:rPr>
        <w:footnoteRef/>
      </w:r>
      <w:r w:rsidRPr="00A46CE5">
        <w:rPr>
          <w:rFonts w:ascii="Times New Roman" w:hAnsi="Times New Roman" w:cs="Times New Roman"/>
          <w:b/>
          <w:sz w:val="16"/>
          <w:szCs w:val="16"/>
        </w:rPr>
        <w:t xml:space="preserve"> GOOD BEHAVIOR</w:t>
      </w:r>
      <w:r w:rsidRPr="00A46CE5">
        <w:rPr>
          <w:rFonts w:ascii="Times New Roman" w:hAnsi="Times New Roman" w:cs="Times New Roman"/>
          <w:sz w:val="16"/>
          <w:szCs w:val="16"/>
        </w:rPr>
        <w:t xml:space="preserve">. The term "good behavior" means conduct that is authorized by law, and "bad behavior" means conduct such as the law will punish. </w:t>
      </w:r>
      <w:proofErr w:type="gramStart"/>
      <w:r w:rsidRPr="00A46CE5">
        <w:rPr>
          <w:rFonts w:ascii="Times New Roman" w:hAnsi="Times New Roman" w:cs="Times New Roman"/>
          <w:sz w:val="16"/>
          <w:szCs w:val="16"/>
        </w:rPr>
        <w:t>State v. Hardin, 183 N.C. 815, 112 S.E. 593, 594.</w:t>
      </w:r>
      <w:proofErr w:type="gramEnd"/>
    </w:p>
  </w:footnote>
  <w:footnote w:id="2">
    <w:p w:rsidR="00A46CE5" w:rsidRPr="00A46CE5" w:rsidRDefault="00A46CE5" w:rsidP="00A46CE5">
      <w:pPr>
        <w:pStyle w:val="FootnoteText"/>
        <w:jc w:val="both"/>
        <w:rPr>
          <w:rFonts w:ascii="Times New Roman" w:hAnsi="Times New Roman" w:cs="Times New Roman"/>
          <w:sz w:val="16"/>
          <w:szCs w:val="16"/>
        </w:rPr>
      </w:pPr>
      <w:r w:rsidRPr="00A46CE5">
        <w:rPr>
          <w:rStyle w:val="FootnoteReference"/>
          <w:rFonts w:ascii="Times New Roman" w:hAnsi="Times New Roman" w:cs="Times New Roman"/>
          <w:sz w:val="16"/>
          <w:szCs w:val="16"/>
        </w:rPr>
        <w:footnoteRef/>
      </w:r>
      <w:r w:rsidRPr="00A46CE5">
        <w:rPr>
          <w:rFonts w:ascii="Times New Roman" w:hAnsi="Times New Roman" w:cs="Times New Roman"/>
          <w:sz w:val="16"/>
          <w:szCs w:val="16"/>
        </w:rPr>
        <w:t xml:space="preserve"> Jones v. Jones, </w:t>
      </w:r>
      <w:proofErr w:type="gramStart"/>
      <w:r w:rsidRPr="00A46CE5">
        <w:rPr>
          <w:rFonts w:ascii="Times New Roman" w:hAnsi="Times New Roman" w:cs="Times New Roman"/>
          <w:sz w:val="16"/>
          <w:szCs w:val="16"/>
        </w:rPr>
        <w:t xml:space="preserve">188 </w:t>
      </w:r>
      <w:proofErr w:type="spellStart"/>
      <w:r w:rsidRPr="00A46CE5">
        <w:rPr>
          <w:rFonts w:ascii="Times New Roman" w:hAnsi="Times New Roman" w:cs="Times New Roman"/>
          <w:sz w:val="16"/>
          <w:szCs w:val="16"/>
        </w:rPr>
        <w:t>Mo.App</w:t>
      </w:r>
      <w:proofErr w:type="spellEnd"/>
      <w:proofErr w:type="gramEnd"/>
      <w:r w:rsidRPr="00A46CE5">
        <w:rPr>
          <w:rFonts w:ascii="Times New Roman" w:hAnsi="Times New Roman" w:cs="Times New Roman"/>
          <w:sz w:val="16"/>
          <w:szCs w:val="16"/>
        </w:rPr>
        <w:t xml:space="preserve">. </w:t>
      </w:r>
      <w:proofErr w:type="gramStart"/>
      <w:r w:rsidRPr="00A46CE5">
        <w:rPr>
          <w:rFonts w:ascii="Times New Roman" w:hAnsi="Times New Roman" w:cs="Times New Roman"/>
          <w:sz w:val="16"/>
          <w:szCs w:val="16"/>
        </w:rPr>
        <w:t xml:space="preserve">220, 175 S.W. 227, 229; Ex parte </w:t>
      </w:r>
      <w:proofErr w:type="spellStart"/>
      <w:r w:rsidRPr="00A46CE5">
        <w:rPr>
          <w:rFonts w:ascii="Times New Roman" w:hAnsi="Times New Roman" w:cs="Times New Roman"/>
          <w:sz w:val="16"/>
          <w:szCs w:val="16"/>
        </w:rPr>
        <w:t>Gladhill</w:t>
      </w:r>
      <w:proofErr w:type="spellEnd"/>
      <w:r w:rsidRPr="00A46CE5">
        <w:rPr>
          <w:rFonts w:ascii="Times New Roman" w:hAnsi="Times New Roman" w:cs="Times New Roman"/>
          <w:sz w:val="16"/>
          <w:szCs w:val="16"/>
        </w:rPr>
        <w:t xml:space="preserve">, 8 </w:t>
      </w:r>
      <w:proofErr w:type="spellStart"/>
      <w:r w:rsidRPr="00A46CE5">
        <w:rPr>
          <w:rFonts w:ascii="Times New Roman" w:hAnsi="Times New Roman" w:cs="Times New Roman"/>
          <w:sz w:val="16"/>
          <w:szCs w:val="16"/>
        </w:rPr>
        <w:t>Metc</w:t>
      </w:r>
      <w:proofErr w:type="spellEnd"/>
      <w:r w:rsidRPr="00A46CE5">
        <w:rPr>
          <w:rFonts w:ascii="Times New Roman" w:hAnsi="Times New Roman" w:cs="Times New Roman"/>
          <w:sz w:val="16"/>
          <w:szCs w:val="16"/>
        </w:rPr>
        <w:t>.</w:t>
      </w:r>
      <w:proofErr w:type="gramEnd"/>
      <w:r w:rsidRPr="00A46CE5">
        <w:rPr>
          <w:rFonts w:ascii="Times New Roman" w:hAnsi="Times New Roman" w:cs="Times New Roman"/>
          <w:sz w:val="16"/>
          <w:szCs w:val="16"/>
        </w:rPr>
        <w:t xml:space="preserve"> </w:t>
      </w:r>
      <w:proofErr w:type="gramStart"/>
      <w:r w:rsidRPr="00A46CE5">
        <w:rPr>
          <w:rFonts w:ascii="Times New Roman" w:hAnsi="Times New Roman" w:cs="Times New Roman"/>
          <w:sz w:val="16"/>
          <w:szCs w:val="16"/>
        </w:rPr>
        <w:t xml:space="preserve">Mass., 171, per Shaw, </w:t>
      </w:r>
      <w:proofErr w:type="spellStart"/>
      <w:r w:rsidRPr="00A46CE5">
        <w:rPr>
          <w:rFonts w:ascii="Times New Roman" w:hAnsi="Times New Roman" w:cs="Times New Roman"/>
          <w:sz w:val="16"/>
          <w:szCs w:val="16"/>
        </w:rPr>
        <w:t>C.J</w:t>
      </w:r>
      <w:proofErr w:type="spellEnd"/>
      <w:r w:rsidRPr="00A46CE5">
        <w:rPr>
          <w:rFonts w:ascii="Times New Roman" w:hAnsi="Times New Roman" w:cs="Times New Roman"/>
          <w:sz w:val="16"/>
          <w:szCs w:val="16"/>
        </w:rPr>
        <w:t>.</w:t>
      </w:r>
      <w:proofErr w:type="gramEnd"/>
      <w:r w:rsidRPr="00A46CE5">
        <w:rPr>
          <w:rFonts w:ascii="Times New Roman" w:hAnsi="Times New Roman" w:cs="Times New Roman"/>
          <w:sz w:val="16"/>
          <w:szCs w:val="16"/>
        </w:rPr>
        <w:t xml:space="preserve"> See, also, </w:t>
      </w:r>
      <w:proofErr w:type="spellStart"/>
      <w:r w:rsidRPr="00A46CE5">
        <w:rPr>
          <w:rFonts w:ascii="Times New Roman" w:hAnsi="Times New Roman" w:cs="Times New Roman"/>
          <w:sz w:val="16"/>
          <w:szCs w:val="16"/>
        </w:rPr>
        <w:t>Ledwith</w:t>
      </w:r>
      <w:proofErr w:type="spellEnd"/>
      <w:r w:rsidRPr="00A46CE5">
        <w:rPr>
          <w:rFonts w:ascii="Times New Roman" w:hAnsi="Times New Roman" w:cs="Times New Roman"/>
          <w:sz w:val="16"/>
          <w:szCs w:val="16"/>
        </w:rPr>
        <w:t xml:space="preserve"> v. </w:t>
      </w:r>
      <w:proofErr w:type="spellStart"/>
      <w:r w:rsidRPr="00A46CE5">
        <w:rPr>
          <w:rFonts w:ascii="Times New Roman" w:hAnsi="Times New Roman" w:cs="Times New Roman"/>
          <w:sz w:val="16"/>
          <w:szCs w:val="16"/>
        </w:rPr>
        <w:t>Rosalsky</w:t>
      </w:r>
      <w:proofErr w:type="spellEnd"/>
      <w:r w:rsidRPr="00A46CE5">
        <w:rPr>
          <w:rFonts w:ascii="Times New Roman" w:hAnsi="Times New Roman" w:cs="Times New Roman"/>
          <w:sz w:val="16"/>
          <w:szCs w:val="16"/>
        </w:rPr>
        <w:t>, 244 N.Y. 406, 155 N.E. 688, 689][Black's Law Dictionary, 4th Ed., 425, 426</w:t>
      </w:r>
    </w:p>
  </w:footnote>
  <w:footnote w:id="3">
    <w:p w:rsidR="0072601D" w:rsidRPr="00A46CE5" w:rsidRDefault="0072601D" w:rsidP="00A46CE5">
      <w:pPr>
        <w:pStyle w:val="FootnoteText"/>
        <w:jc w:val="both"/>
        <w:rPr>
          <w:rFonts w:ascii="Times New Roman" w:hAnsi="Times New Roman" w:cs="Times New Roman"/>
          <w:sz w:val="16"/>
          <w:szCs w:val="16"/>
        </w:rPr>
      </w:pPr>
      <w:r w:rsidRPr="00A46CE5">
        <w:rPr>
          <w:rStyle w:val="FootnoteReference"/>
          <w:rFonts w:ascii="Times New Roman" w:hAnsi="Times New Roman" w:cs="Times New Roman"/>
          <w:b/>
          <w:sz w:val="16"/>
          <w:szCs w:val="16"/>
        </w:rPr>
        <w:footnoteRef/>
      </w:r>
      <w:r w:rsidRPr="00A46CE5">
        <w:rPr>
          <w:rFonts w:ascii="Times New Roman" w:hAnsi="Times New Roman" w:cs="Times New Roman"/>
          <w:b/>
          <w:sz w:val="16"/>
          <w:szCs w:val="16"/>
        </w:rPr>
        <w:t xml:space="preserve"> "Law of the land</w:t>
      </w:r>
      <w:r w:rsidRPr="00A46CE5">
        <w:rPr>
          <w:rFonts w:ascii="Times New Roman" w:hAnsi="Times New Roman" w:cs="Times New Roman"/>
          <w:sz w:val="16"/>
          <w:szCs w:val="16"/>
        </w:rPr>
        <w:t xml:space="preserve">," "due course of law," and "due process of law" are synonymous. People v. Skinner, Cal., 110 P.2d 41, 45; State v. Rossi, 71 R.I. 284, 43 A.2d 323, 326; Direct Plumbing Supply Co. v. City of Dayton, 138 Ohio St. 540, 38 N.E.2d 70, 72, 137 </w:t>
      </w:r>
      <w:proofErr w:type="spellStart"/>
      <w:r w:rsidRPr="00A46CE5">
        <w:rPr>
          <w:rFonts w:ascii="Times New Roman" w:hAnsi="Times New Roman" w:cs="Times New Roman"/>
          <w:sz w:val="16"/>
          <w:szCs w:val="16"/>
        </w:rPr>
        <w:t>A.L.R</w:t>
      </w:r>
      <w:proofErr w:type="spellEnd"/>
      <w:r w:rsidRPr="00A46CE5">
        <w:rPr>
          <w:rFonts w:ascii="Times New Roman" w:hAnsi="Times New Roman" w:cs="Times New Roman"/>
          <w:sz w:val="16"/>
          <w:szCs w:val="16"/>
        </w:rPr>
        <w:t>. 1058; Stoner v. Higginson, 316 Pa. 481, 175 A. 527, 531.</w:t>
      </w:r>
    </w:p>
  </w:footnote>
  <w:footnote w:id="4">
    <w:p w:rsidR="00945F91" w:rsidRPr="00A46CE5" w:rsidRDefault="00945F91" w:rsidP="00A46CE5">
      <w:pPr>
        <w:pStyle w:val="FootnoteText"/>
        <w:jc w:val="both"/>
        <w:rPr>
          <w:rFonts w:ascii="Times New Roman" w:hAnsi="Times New Roman" w:cs="Times New Roman"/>
          <w:sz w:val="16"/>
          <w:szCs w:val="16"/>
        </w:rPr>
      </w:pPr>
      <w:r w:rsidRPr="00A46CE5">
        <w:rPr>
          <w:rStyle w:val="FootnoteReference"/>
          <w:rFonts w:ascii="Times New Roman" w:hAnsi="Times New Roman" w:cs="Times New Roman"/>
          <w:b/>
          <w:sz w:val="16"/>
          <w:szCs w:val="16"/>
        </w:rPr>
        <w:footnoteRef/>
      </w:r>
      <w:r w:rsidRPr="00A46CE5">
        <w:rPr>
          <w:rFonts w:ascii="Times New Roman" w:hAnsi="Times New Roman" w:cs="Times New Roman"/>
          <w:b/>
          <w:sz w:val="16"/>
          <w:szCs w:val="16"/>
        </w:rPr>
        <w:t xml:space="preserve"> </w:t>
      </w:r>
      <w:proofErr w:type="gramStart"/>
      <w:r w:rsidRPr="00A46CE5">
        <w:rPr>
          <w:rFonts w:ascii="Times New Roman" w:hAnsi="Times New Roman" w:cs="Times New Roman"/>
          <w:b/>
          <w:sz w:val="16"/>
          <w:szCs w:val="16"/>
        </w:rPr>
        <w:t>EQUITY</w:t>
      </w:r>
      <w:r w:rsidRPr="00A46CE5">
        <w:rPr>
          <w:rFonts w:ascii="Times New Roman" w:hAnsi="Times New Roman" w:cs="Times New Roman"/>
          <w:sz w:val="16"/>
          <w:szCs w:val="16"/>
        </w:rPr>
        <w:t>.</w:t>
      </w:r>
      <w:proofErr w:type="gramEnd"/>
      <w:r w:rsidRPr="00A46CE5">
        <w:rPr>
          <w:rFonts w:ascii="Times New Roman" w:hAnsi="Times New Roman" w:cs="Times New Roman"/>
          <w:sz w:val="16"/>
          <w:szCs w:val="16"/>
        </w:rPr>
        <w:t xml:space="preserve"> In its broadest and most general signification, this term denotes the spirit and the habit of fairness, justness, and right dealing which would regulate the intercourse of men with men,—the rule of doing to all others as we desire them to do to us; or, as it is expressed by the Lord.</w:t>
      </w:r>
    </w:p>
  </w:footnote>
  <w:footnote w:id="5">
    <w:p w:rsidR="00A46CE5" w:rsidRPr="00A46CE5" w:rsidRDefault="00A46CE5" w:rsidP="00A46CE5">
      <w:pPr>
        <w:pStyle w:val="FootnoteText"/>
        <w:jc w:val="both"/>
        <w:rPr>
          <w:rFonts w:ascii="Times New Roman" w:hAnsi="Times New Roman" w:cs="Times New Roman"/>
          <w:sz w:val="16"/>
          <w:szCs w:val="16"/>
        </w:rPr>
      </w:pPr>
      <w:r w:rsidRPr="00A46CE5">
        <w:rPr>
          <w:rStyle w:val="FootnoteReference"/>
          <w:rFonts w:ascii="Times New Roman" w:hAnsi="Times New Roman" w:cs="Times New Roman"/>
          <w:sz w:val="16"/>
          <w:szCs w:val="16"/>
        </w:rPr>
        <w:footnoteRef/>
      </w:r>
      <w:r w:rsidRPr="00A46CE5">
        <w:rPr>
          <w:rFonts w:ascii="Times New Roman" w:hAnsi="Times New Roman" w:cs="Times New Roman"/>
          <w:sz w:val="16"/>
          <w:szCs w:val="16"/>
        </w:rPr>
        <w:t xml:space="preserve"> See 1 </w:t>
      </w:r>
      <w:proofErr w:type="spellStart"/>
      <w:r w:rsidRPr="00A46CE5">
        <w:rPr>
          <w:rFonts w:ascii="Times New Roman" w:hAnsi="Times New Roman" w:cs="Times New Roman"/>
          <w:sz w:val="16"/>
          <w:szCs w:val="16"/>
        </w:rPr>
        <w:t>Bl.Comm</w:t>
      </w:r>
      <w:proofErr w:type="spellEnd"/>
      <w:r w:rsidRPr="00A46CE5">
        <w:rPr>
          <w:rFonts w:ascii="Times New Roman" w:hAnsi="Times New Roman" w:cs="Times New Roman"/>
          <w:sz w:val="16"/>
          <w:szCs w:val="16"/>
        </w:rPr>
        <w:t xml:space="preserve">. 92; Dowell v. Goodwin, 22 R.I.287, 27 A. 693, 695, 51 </w:t>
      </w:r>
      <w:proofErr w:type="spellStart"/>
      <w:r w:rsidRPr="00A46CE5">
        <w:rPr>
          <w:rFonts w:ascii="Times New Roman" w:hAnsi="Times New Roman" w:cs="Times New Roman"/>
          <w:sz w:val="16"/>
          <w:szCs w:val="16"/>
        </w:rPr>
        <w:t>L.R.A</w:t>
      </w:r>
      <w:proofErr w:type="spellEnd"/>
      <w:r w:rsidRPr="00A46CE5">
        <w:rPr>
          <w:rFonts w:ascii="Times New Roman" w:hAnsi="Times New Roman" w:cs="Times New Roman"/>
          <w:sz w:val="16"/>
          <w:szCs w:val="16"/>
        </w:rPr>
        <w:t>. 873, 84 Am.St.Rep.842</w:t>
      </w:r>
    </w:p>
  </w:footnote>
  <w:footnote w:id="6">
    <w:p w:rsidR="00FE53A4" w:rsidRPr="00A46CE5" w:rsidRDefault="00FE53A4" w:rsidP="00A46CE5">
      <w:pPr>
        <w:pStyle w:val="FootnoteText"/>
        <w:jc w:val="both"/>
        <w:rPr>
          <w:rFonts w:ascii="Times New Roman" w:hAnsi="Times New Roman" w:cs="Times New Roman"/>
          <w:sz w:val="16"/>
          <w:szCs w:val="16"/>
        </w:rPr>
      </w:pPr>
      <w:r w:rsidRPr="00A46CE5">
        <w:rPr>
          <w:rStyle w:val="FootnoteReference"/>
          <w:rFonts w:ascii="Times New Roman" w:hAnsi="Times New Roman" w:cs="Times New Roman"/>
          <w:b/>
          <w:sz w:val="16"/>
          <w:szCs w:val="16"/>
        </w:rPr>
        <w:footnoteRef/>
      </w:r>
      <w:r w:rsidRPr="00A46CE5">
        <w:rPr>
          <w:rFonts w:ascii="Times New Roman" w:hAnsi="Times New Roman" w:cs="Times New Roman"/>
          <w:b/>
          <w:sz w:val="16"/>
          <w:szCs w:val="16"/>
        </w:rPr>
        <w:t xml:space="preserve"> Court of "Law"</w:t>
      </w:r>
      <w:r w:rsidRPr="00A46CE5">
        <w:rPr>
          <w:rFonts w:ascii="Times New Roman" w:hAnsi="Times New Roman" w:cs="Times New Roman"/>
          <w:sz w:val="16"/>
          <w:szCs w:val="16"/>
        </w:rPr>
        <w:t xml:space="preserve"> means Court of Common Law - a court for the People CORAM IPSO </w:t>
      </w:r>
      <w:proofErr w:type="spellStart"/>
      <w:r w:rsidRPr="00A46CE5">
        <w:rPr>
          <w:rFonts w:ascii="Times New Roman" w:hAnsi="Times New Roman" w:cs="Times New Roman"/>
          <w:sz w:val="16"/>
          <w:szCs w:val="16"/>
        </w:rPr>
        <w:t>REGE</w:t>
      </w:r>
      <w:proofErr w:type="spellEnd"/>
    </w:p>
  </w:footnote>
  <w:footnote w:id="7">
    <w:p w:rsidR="00C22E2B" w:rsidRPr="00A46CE5" w:rsidRDefault="00C22E2B" w:rsidP="00A46CE5">
      <w:pPr>
        <w:pStyle w:val="FootnoteText"/>
        <w:jc w:val="both"/>
        <w:rPr>
          <w:rFonts w:ascii="Times New Roman" w:hAnsi="Times New Roman" w:cs="Times New Roman"/>
          <w:sz w:val="16"/>
          <w:szCs w:val="16"/>
        </w:rPr>
      </w:pPr>
      <w:r w:rsidRPr="00A46CE5">
        <w:rPr>
          <w:rStyle w:val="FootnoteReference"/>
          <w:rFonts w:ascii="Times New Roman" w:hAnsi="Times New Roman" w:cs="Times New Roman"/>
          <w:b/>
          <w:sz w:val="16"/>
          <w:szCs w:val="16"/>
        </w:rPr>
        <w:footnoteRef/>
      </w:r>
      <w:r w:rsidRPr="00A46CE5">
        <w:rPr>
          <w:rFonts w:ascii="Times New Roman" w:hAnsi="Times New Roman" w:cs="Times New Roman"/>
          <w:b/>
          <w:sz w:val="16"/>
          <w:szCs w:val="16"/>
        </w:rPr>
        <w:t xml:space="preserve"> </w:t>
      </w:r>
      <w:proofErr w:type="gramStart"/>
      <w:r w:rsidRPr="00A46CE5">
        <w:rPr>
          <w:rFonts w:ascii="Times New Roman" w:hAnsi="Times New Roman" w:cs="Times New Roman"/>
          <w:b/>
          <w:sz w:val="16"/>
          <w:szCs w:val="16"/>
        </w:rPr>
        <w:t>COLOR OF LAW</w:t>
      </w:r>
      <w:r w:rsidRPr="00A46CE5">
        <w:rPr>
          <w:rFonts w:ascii="Times New Roman" w:hAnsi="Times New Roman" w:cs="Times New Roman"/>
          <w:sz w:val="16"/>
          <w:szCs w:val="16"/>
        </w:rPr>
        <w:t>.</w:t>
      </w:r>
      <w:proofErr w:type="gramEnd"/>
      <w:r w:rsidRPr="00A46CE5">
        <w:rPr>
          <w:rFonts w:ascii="Times New Roman" w:hAnsi="Times New Roman" w:cs="Times New Roman"/>
          <w:sz w:val="16"/>
          <w:szCs w:val="16"/>
        </w:rPr>
        <w:t xml:space="preserve"> [Black's Law 4th edition, 1891] -- The appearance or semblance, without the substance, of legal right. [State v. </w:t>
      </w:r>
      <w:proofErr w:type="spellStart"/>
      <w:r w:rsidRPr="00A46CE5">
        <w:rPr>
          <w:rFonts w:ascii="Times New Roman" w:hAnsi="Times New Roman" w:cs="Times New Roman"/>
          <w:sz w:val="16"/>
          <w:szCs w:val="16"/>
        </w:rPr>
        <w:t>Brechler</w:t>
      </w:r>
      <w:proofErr w:type="spellEnd"/>
      <w:r w:rsidRPr="00A46CE5">
        <w:rPr>
          <w:rFonts w:ascii="Times New Roman" w:hAnsi="Times New Roman" w:cs="Times New Roman"/>
          <w:sz w:val="16"/>
          <w:szCs w:val="16"/>
        </w:rPr>
        <w:t>, 185 Wis. 599, 202 N.W. 144, 148] Misuse of power, possessed by virtue of state law and made possible only because wrongdoer is clothed with authority of state, is action taken under "color of state law." (Atkins v. Lanning, 415 F. Supp. 186, 188)</w:t>
      </w:r>
    </w:p>
  </w:footnote>
  <w:footnote w:id="8">
    <w:p w:rsidR="00A46CE5" w:rsidRPr="00F6772E" w:rsidRDefault="00A46CE5" w:rsidP="00A46CE5">
      <w:pPr>
        <w:pStyle w:val="FootnoteText"/>
        <w:jc w:val="both"/>
        <w:rPr>
          <w:rFonts w:ascii="Times New Roman" w:hAnsi="Times New Roman" w:cs="Times New Roman"/>
          <w:sz w:val="16"/>
          <w:szCs w:val="16"/>
        </w:rPr>
      </w:pPr>
      <w:r w:rsidRPr="00F6772E">
        <w:rPr>
          <w:rStyle w:val="FootnoteReference"/>
          <w:rFonts w:ascii="Times New Roman" w:hAnsi="Times New Roman" w:cs="Times New Roman"/>
          <w:sz w:val="16"/>
          <w:szCs w:val="16"/>
        </w:rPr>
        <w:footnoteRef/>
      </w:r>
      <w:r w:rsidRPr="00F6772E">
        <w:rPr>
          <w:rFonts w:ascii="Times New Roman" w:hAnsi="Times New Roman" w:cs="Times New Roman"/>
          <w:sz w:val="16"/>
          <w:szCs w:val="16"/>
        </w:rPr>
        <w:t xml:space="preserve"> </w:t>
      </w:r>
      <w:proofErr w:type="spellStart"/>
      <w:r w:rsidRPr="00F6772E">
        <w:rPr>
          <w:rFonts w:ascii="Times New Roman" w:hAnsi="Times New Roman" w:cs="Times New Roman"/>
          <w:sz w:val="16"/>
          <w:szCs w:val="16"/>
        </w:rPr>
        <w:t>Mookini</w:t>
      </w:r>
      <w:proofErr w:type="spellEnd"/>
      <w:r w:rsidRPr="00F6772E">
        <w:rPr>
          <w:rFonts w:ascii="Times New Roman" w:hAnsi="Times New Roman" w:cs="Times New Roman"/>
          <w:sz w:val="16"/>
          <w:szCs w:val="16"/>
        </w:rPr>
        <w:t xml:space="preserve"> v. U.S. , see also Longshoremen v. Juneau Spruce Corp., 324 U.S. 237; Reynolds v. U.S., 98 U.S. 145, 154; McAlister v. U.S., 141 U.S. 174; U.S. v. Burroughs, 289 U.S. 159, 163</w:t>
      </w:r>
    </w:p>
  </w:footnote>
  <w:footnote w:id="9">
    <w:p w:rsidR="00E346B3" w:rsidRPr="00F6772E" w:rsidRDefault="00E346B3" w:rsidP="00A46CE5">
      <w:pPr>
        <w:pStyle w:val="FootnoteText"/>
        <w:jc w:val="both"/>
        <w:rPr>
          <w:rFonts w:ascii="Times New Roman" w:hAnsi="Times New Roman" w:cs="Times New Roman"/>
          <w:sz w:val="16"/>
          <w:szCs w:val="16"/>
        </w:rPr>
      </w:pPr>
      <w:r w:rsidRPr="00F6772E">
        <w:rPr>
          <w:rStyle w:val="FootnoteReference"/>
          <w:rFonts w:ascii="Times New Roman" w:hAnsi="Times New Roman" w:cs="Times New Roman"/>
          <w:b/>
          <w:sz w:val="16"/>
          <w:szCs w:val="16"/>
        </w:rPr>
        <w:footnoteRef/>
      </w:r>
      <w:r w:rsidRPr="00F6772E">
        <w:rPr>
          <w:rFonts w:ascii="Times New Roman" w:hAnsi="Times New Roman" w:cs="Times New Roman"/>
          <w:b/>
          <w:sz w:val="16"/>
          <w:szCs w:val="16"/>
        </w:rPr>
        <w:t xml:space="preserve"> FOR CAUSE</w:t>
      </w:r>
      <w:r w:rsidRPr="00F6772E">
        <w:rPr>
          <w:rFonts w:ascii="Times New Roman" w:hAnsi="Times New Roman" w:cs="Times New Roman"/>
          <w:sz w:val="16"/>
          <w:szCs w:val="16"/>
        </w:rPr>
        <w:t xml:space="preserve"> Means for reasons which law and public policy recognize as sufficient warrant for removal and such cause is "legal cause" and not merely a cause which the appointing power in the exercise of discretion may deem sufficient. State ex rel. Nagle v. Sullivan, 98 Mont. 425, </w:t>
      </w:r>
      <w:proofErr w:type="gramStart"/>
      <w:r w:rsidRPr="00F6772E">
        <w:rPr>
          <w:rFonts w:ascii="Times New Roman" w:hAnsi="Times New Roman" w:cs="Times New Roman"/>
          <w:sz w:val="16"/>
          <w:szCs w:val="16"/>
        </w:rPr>
        <w:t>40 P.2d 995,</w:t>
      </w:r>
      <w:proofErr w:type="gramEnd"/>
      <w:r w:rsidRPr="00F6772E">
        <w:rPr>
          <w:rFonts w:ascii="Times New Roman" w:hAnsi="Times New Roman" w:cs="Times New Roman"/>
          <w:sz w:val="16"/>
          <w:szCs w:val="16"/>
        </w:rPr>
        <w:t xml:space="preserve"> 998, 99 </w:t>
      </w:r>
      <w:proofErr w:type="spellStart"/>
      <w:r w:rsidRPr="00F6772E">
        <w:rPr>
          <w:rFonts w:ascii="Times New Roman" w:hAnsi="Times New Roman" w:cs="Times New Roman"/>
          <w:sz w:val="16"/>
          <w:szCs w:val="16"/>
        </w:rPr>
        <w:t>A.L.R</w:t>
      </w:r>
      <w:proofErr w:type="spellEnd"/>
      <w:r w:rsidRPr="00F6772E">
        <w:rPr>
          <w:rFonts w:ascii="Times New Roman" w:hAnsi="Times New Roman" w:cs="Times New Roman"/>
          <w:sz w:val="16"/>
          <w:szCs w:val="16"/>
        </w:rPr>
        <w:t>. 321.</w:t>
      </w:r>
    </w:p>
  </w:footnote>
  <w:footnote w:id="10">
    <w:p w:rsidR="005F2749" w:rsidRPr="00F6772E" w:rsidRDefault="005F2749" w:rsidP="00A46CE5">
      <w:pPr>
        <w:pStyle w:val="FootnoteText"/>
        <w:jc w:val="both"/>
        <w:rPr>
          <w:rFonts w:ascii="Times New Roman" w:hAnsi="Times New Roman" w:cs="Times New Roman"/>
          <w:sz w:val="16"/>
          <w:szCs w:val="16"/>
        </w:rPr>
      </w:pPr>
      <w:r w:rsidRPr="00F6772E">
        <w:rPr>
          <w:rStyle w:val="FootnoteReference"/>
          <w:rFonts w:ascii="Times New Roman" w:hAnsi="Times New Roman" w:cs="Times New Roman"/>
          <w:b/>
          <w:sz w:val="16"/>
          <w:szCs w:val="16"/>
        </w:rPr>
        <w:footnoteRef/>
      </w:r>
      <w:r w:rsidRPr="00F6772E">
        <w:rPr>
          <w:rFonts w:ascii="Times New Roman" w:hAnsi="Times New Roman" w:cs="Times New Roman"/>
          <w:b/>
          <w:sz w:val="16"/>
          <w:szCs w:val="16"/>
        </w:rPr>
        <w:t xml:space="preserve"> LEGAL REMEDY </w:t>
      </w:r>
      <w:r w:rsidRPr="00F6772E">
        <w:rPr>
          <w:rFonts w:ascii="Times New Roman" w:hAnsi="Times New Roman" w:cs="Times New Roman"/>
          <w:sz w:val="16"/>
          <w:szCs w:val="16"/>
        </w:rPr>
        <w:t>A remedy available, under the particular circumstances of the case, in a court of law, as distinguished from a remedy available only in equity. See State v. Sneed</w:t>
      </w:r>
      <w:proofErr w:type="gramStart"/>
      <w:r w:rsidRPr="00F6772E">
        <w:rPr>
          <w:rFonts w:ascii="Times New Roman" w:hAnsi="Times New Roman" w:cs="Times New Roman"/>
          <w:sz w:val="16"/>
          <w:szCs w:val="16"/>
        </w:rPr>
        <w:t>,.</w:t>
      </w:r>
      <w:proofErr w:type="gramEnd"/>
      <w:r w:rsidRPr="00F6772E">
        <w:rPr>
          <w:rFonts w:ascii="Times New Roman" w:hAnsi="Times New Roman" w:cs="Times New Roman"/>
          <w:sz w:val="16"/>
          <w:szCs w:val="16"/>
        </w:rPr>
        <w:t xml:space="preserve"> </w:t>
      </w:r>
      <w:proofErr w:type="gramStart"/>
      <w:r w:rsidRPr="00F6772E">
        <w:rPr>
          <w:rFonts w:ascii="Times New Roman" w:hAnsi="Times New Roman" w:cs="Times New Roman"/>
          <w:sz w:val="16"/>
          <w:szCs w:val="16"/>
        </w:rPr>
        <w:t>105 Tenn. 711, 58 S.W. 1070.</w:t>
      </w:r>
      <w:proofErr w:type="gramEnd"/>
    </w:p>
  </w:footnote>
  <w:footnote w:id="11">
    <w:p w:rsidR="0067037D" w:rsidRPr="00F6772E" w:rsidRDefault="0067037D" w:rsidP="0067037D">
      <w:pPr>
        <w:pStyle w:val="FootnoteText"/>
        <w:rPr>
          <w:rFonts w:ascii="Times New Roman" w:hAnsi="Times New Roman" w:cs="Times New Roman"/>
          <w:sz w:val="16"/>
          <w:szCs w:val="16"/>
        </w:rPr>
      </w:pPr>
      <w:r w:rsidRPr="00F6772E">
        <w:rPr>
          <w:rStyle w:val="FootnoteReference"/>
          <w:rFonts w:ascii="Times New Roman" w:hAnsi="Times New Roman" w:cs="Times New Roman"/>
          <w:sz w:val="16"/>
          <w:szCs w:val="16"/>
        </w:rPr>
        <w:footnoteRef/>
      </w:r>
      <w:r w:rsidRPr="00F6772E">
        <w:rPr>
          <w:rFonts w:ascii="Times New Roman" w:hAnsi="Times New Roman" w:cs="Times New Roman"/>
          <w:sz w:val="16"/>
          <w:szCs w:val="16"/>
        </w:rPr>
        <w:t xml:space="preserve"> 5 U.S. 137, Marbury v. Madison</w:t>
      </w:r>
    </w:p>
  </w:footnote>
  <w:footnote w:id="12">
    <w:p w:rsidR="0067037D" w:rsidRPr="00F6772E" w:rsidRDefault="0067037D">
      <w:pPr>
        <w:pStyle w:val="FootnoteText"/>
        <w:rPr>
          <w:rFonts w:ascii="Times New Roman" w:hAnsi="Times New Roman" w:cs="Times New Roman"/>
          <w:sz w:val="16"/>
          <w:szCs w:val="16"/>
        </w:rPr>
      </w:pPr>
      <w:r w:rsidRPr="00F6772E">
        <w:rPr>
          <w:rStyle w:val="FootnoteReference"/>
          <w:rFonts w:ascii="Times New Roman" w:hAnsi="Times New Roman" w:cs="Times New Roman"/>
          <w:sz w:val="16"/>
          <w:szCs w:val="16"/>
        </w:rPr>
        <w:footnoteRef/>
      </w:r>
      <w:r w:rsidRPr="00F6772E">
        <w:rPr>
          <w:rFonts w:ascii="Times New Roman" w:hAnsi="Times New Roman" w:cs="Times New Roman"/>
          <w:sz w:val="16"/>
          <w:szCs w:val="16"/>
        </w:rPr>
        <w:t xml:space="preserve"> United States v. </w:t>
      </w:r>
      <w:proofErr w:type="spellStart"/>
      <w:r w:rsidRPr="00F6772E">
        <w:rPr>
          <w:rFonts w:ascii="Times New Roman" w:hAnsi="Times New Roman" w:cs="Times New Roman"/>
          <w:sz w:val="16"/>
          <w:szCs w:val="16"/>
        </w:rPr>
        <w:t>Kis</w:t>
      </w:r>
      <w:proofErr w:type="spellEnd"/>
      <w:r w:rsidRPr="00F6772E">
        <w:rPr>
          <w:rFonts w:ascii="Times New Roman" w:hAnsi="Times New Roman" w:cs="Times New Roman"/>
          <w:sz w:val="16"/>
          <w:szCs w:val="16"/>
        </w:rPr>
        <w:t>, 658 F.2d 526, 536 (7th Cir. 1981); Cert. Denied, 50 U.S. L. W. 2169; S. Ct. March 22, 1982</w:t>
      </w:r>
    </w:p>
  </w:footnote>
  <w:footnote w:id="13">
    <w:p w:rsidR="009977F0" w:rsidRPr="00F6772E" w:rsidRDefault="009977F0" w:rsidP="00A46CE5">
      <w:pPr>
        <w:pStyle w:val="FootnoteText"/>
        <w:jc w:val="both"/>
        <w:rPr>
          <w:rFonts w:ascii="Times New Roman" w:hAnsi="Times New Roman" w:cs="Times New Roman"/>
          <w:sz w:val="16"/>
          <w:szCs w:val="16"/>
        </w:rPr>
      </w:pPr>
      <w:r w:rsidRPr="00F6772E">
        <w:rPr>
          <w:rStyle w:val="FootnoteReference"/>
          <w:rFonts w:ascii="Times New Roman" w:hAnsi="Times New Roman" w:cs="Times New Roman"/>
          <w:b/>
          <w:sz w:val="16"/>
          <w:szCs w:val="16"/>
        </w:rPr>
        <w:footnoteRef/>
      </w:r>
      <w:r w:rsidRPr="00F6772E">
        <w:rPr>
          <w:rFonts w:ascii="Times New Roman" w:hAnsi="Times New Roman" w:cs="Times New Roman"/>
          <w:b/>
          <w:sz w:val="16"/>
          <w:szCs w:val="16"/>
        </w:rPr>
        <w:t xml:space="preserve"> Amendment V -</w:t>
      </w:r>
      <w:r w:rsidRPr="00F6772E">
        <w:rPr>
          <w:rFonts w:ascii="Times New Roman" w:hAnsi="Times New Roman" w:cs="Times New Roman"/>
          <w:sz w:val="16"/>
          <w:szCs w:val="16"/>
        </w:rPr>
        <w:t xml:space="preserve"> No person shall ... be deprived of life, liberty, or property, without due process of law;</w:t>
      </w:r>
    </w:p>
  </w:footnote>
  <w:footnote w:id="14">
    <w:p w:rsidR="00F6772E" w:rsidRPr="00F6772E" w:rsidRDefault="00F6772E" w:rsidP="00F6772E">
      <w:pPr>
        <w:pStyle w:val="FootnoteText"/>
        <w:rPr>
          <w:sz w:val="16"/>
          <w:szCs w:val="16"/>
        </w:rPr>
      </w:pPr>
      <w:r w:rsidRPr="00F6772E">
        <w:rPr>
          <w:rStyle w:val="FootnoteReference"/>
          <w:sz w:val="16"/>
          <w:szCs w:val="16"/>
        </w:rPr>
        <w:footnoteRef/>
      </w:r>
      <w:r w:rsidRPr="00F6772E">
        <w:rPr>
          <w:sz w:val="16"/>
          <w:szCs w:val="16"/>
        </w:rPr>
        <w:t xml:space="preserve"> 5 U.S. 137, Marbury v. Madison</w:t>
      </w:r>
    </w:p>
  </w:footnote>
  <w:footnote w:id="15">
    <w:p w:rsidR="00F6772E" w:rsidRPr="00F6772E" w:rsidRDefault="00F6772E" w:rsidP="00F6772E">
      <w:pPr>
        <w:pStyle w:val="FootnoteText"/>
        <w:rPr>
          <w:sz w:val="16"/>
          <w:szCs w:val="16"/>
        </w:rPr>
      </w:pPr>
      <w:r w:rsidRPr="00F6772E">
        <w:rPr>
          <w:rStyle w:val="FootnoteReference"/>
          <w:sz w:val="16"/>
          <w:szCs w:val="16"/>
        </w:rPr>
        <w:footnoteRef/>
      </w:r>
      <w:r w:rsidRPr="00F6772E">
        <w:rPr>
          <w:sz w:val="16"/>
          <w:szCs w:val="16"/>
        </w:rPr>
        <w:t xml:space="preserve"> Marbury v. Madison, 5 U.S. 137 (1803)</w:t>
      </w:r>
    </w:p>
  </w:footnote>
  <w:footnote w:id="16">
    <w:p w:rsidR="00F6772E" w:rsidRPr="00F6772E" w:rsidRDefault="00F6772E" w:rsidP="00F6772E">
      <w:pPr>
        <w:pStyle w:val="FootnoteText"/>
        <w:rPr>
          <w:sz w:val="16"/>
          <w:szCs w:val="16"/>
        </w:rPr>
      </w:pPr>
      <w:r w:rsidRPr="00F6772E">
        <w:rPr>
          <w:rStyle w:val="FootnoteReference"/>
          <w:sz w:val="16"/>
          <w:szCs w:val="16"/>
        </w:rPr>
        <w:footnoteRef/>
      </w:r>
      <w:r w:rsidRPr="00F6772E">
        <w:rPr>
          <w:sz w:val="16"/>
          <w:szCs w:val="16"/>
        </w:rPr>
        <w:t xml:space="preserve"> </w:t>
      </w:r>
      <w:proofErr w:type="spellStart"/>
      <w:r w:rsidRPr="00F6772E">
        <w:rPr>
          <w:sz w:val="16"/>
          <w:szCs w:val="16"/>
        </w:rPr>
        <w:t>Hoke</w:t>
      </w:r>
      <w:proofErr w:type="spellEnd"/>
      <w:r w:rsidRPr="00F6772E">
        <w:rPr>
          <w:sz w:val="16"/>
          <w:szCs w:val="16"/>
        </w:rPr>
        <w:t xml:space="preserve"> vs. Henderson,15, N.C.15,25 AM Dec 677</w:t>
      </w:r>
    </w:p>
  </w:footnote>
  <w:footnote w:id="17">
    <w:p w:rsidR="00F6772E" w:rsidRPr="00F6772E" w:rsidRDefault="00F6772E" w:rsidP="00F6772E">
      <w:pPr>
        <w:pStyle w:val="FootnoteText"/>
        <w:rPr>
          <w:sz w:val="16"/>
          <w:szCs w:val="16"/>
        </w:rPr>
      </w:pPr>
      <w:r w:rsidRPr="00F6772E">
        <w:rPr>
          <w:rStyle w:val="FootnoteReference"/>
          <w:sz w:val="16"/>
          <w:szCs w:val="16"/>
        </w:rPr>
        <w:footnoteRef/>
      </w:r>
      <w:r w:rsidRPr="00F6772E">
        <w:rPr>
          <w:sz w:val="16"/>
          <w:szCs w:val="16"/>
        </w:rPr>
        <w:t xml:space="preserve"> Magna Carta, Article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8D6"/>
    <w:multiLevelType w:val="hybridMultilevel"/>
    <w:tmpl w:val="FC285226"/>
    <w:lvl w:ilvl="0" w:tplc="094270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36"/>
    <w:rsid w:val="00034BF4"/>
    <w:rsid w:val="000A2930"/>
    <w:rsid w:val="000B264B"/>
    <w:rsid w:val="00112741"/>
    <w:rsid w:val="001223E1"/>
    <w:rsid w:val="00133EB6"/>
    <w:rsid w:val="0013592A"/>
    <w:rsid w:val="00137ADA"/>
    <w:rsid w:val="001D3D67"/>
    <w:rsid w:val="00223CF3"/>
    <w:rsid w:val="00232887"/>
    <w:rsid w:val="0023635B"/>
    <w:rsid w:val="002414A7"/>
    <w:rsid w:val="00241CEC"/>
    <w:rsid w:val="00277D72"/>
    <w:rsid w:val="003963C0"/>
    <w:rsid w:val="003B58F3"/>
    <w:rsid w:val="003B69DD"/>
    <w:rsid w:val="00413149"/>
    <w:rsid w:val="00443BBB"/>
    <w:rsid w:val="004660A7"/>
    <w:rsid w:val="00491CE3"/>
    <w:rsid w:val="004B37EA"/>
    <w:rsid w:val="00506DBC"/>
    <w:rsid w:val="00546613"/>
    <w:rsid w:val="005A1045"/>
    <w:rsid w:val="005F2749"/>
    <w:rsid w:val="00624628"/>
    <w:rsid w:val="0067037D"/>
    <w:rsid w:val="006719D0"/>
    <w:rsid w:val="006775BF"/>
    <w:rsid w:val="0069437D"/>
    <w:rsid w:val="006F3833"/>
    <w:rsid w:val="0072601D"/>
    <w:rsid w:val="007461D8"/>
    <w:rsid w:val="007738F6"/>
    <w:rsid w:val="007A34F7"/>
    <w:rsid w:val="00821A89"/>
    <w:rsid w:val="008305C0"/>
    <w:rsid w:val="008D16BB"/>
    <w:rsid w:val="008D1EC0"/>
    <w:rsid w:val="008D29AE"/>
    <w:rsid w:val="00941439"/>
    <w:rsid w:val="00945F91"/>
    <w:rsid w:val="009977F0"/>
    <w:rsid w:val="009B1022"/>
    <w:rsid w:val="00A25239"/>
    <w:rsid w:val="00A46CE5"/>
    <w:rsid w:val="00AE6D65"/>
    <w:rsid w:val="00B26C12"/>
    <w:rsid w:val="00B32C77"/>
    <w:rsid w:val="00B86B55"/>
    <w:rsid w:val="00C22E2B"/>
    <w:rsid w:val="00D556EC"/>
    <w:rsid w:val="00D669CF"/>
    <w:rsid w:val="00DA30AA"/>
    <w:rsid w:val="00DA475D"/>
    <w:rsid w:val="00E07525"/>
    <w:rsid w:val="00E207E2"/>
    <w:rsid w:val="00E33D2E"/>
    <w:rsid w:val="00E346B3"/>
    <w:rsid w:val="00E84C7B"/>
    <w:rsid w:val="00EA1236"/>
    <w:rsid w:val="00EA25FA"/>
    <w:rsid w:val="00ED3235"/>
    <w:rsid w:val="00F14DB1"/>
    <w:rsid w:val="00F6772E"/>
    <w:rsid w:val="00F705EB"/>
    <w:rsid w:val="00FE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77"/>
    <w:pPr>
      <w:ind w:left="720"/>
      <w:contextualSpacing/>
    </w:pPr>
  </w:style>
  <w:style w:type="paragraph" w:styleId="FootnoteText">
    <w:name w:val="footnote text"/>
    <w:basedOn w:val="Normal"/>
    <w:link w:val="FootnoteTextChar"/>
    <w:uiPriority w:val="99"/>
    <w:semiHidden/>
    <w:unhideWhenUsed/>
    <w:rsid w:val="00443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BBB"/>
    <w:rPr>
      <w:sz w:val="20"/>
      <w:szCs w:val="20"/>
    </w:rPr>
  </w:style>
  <w:style w:type="character" w:styleId="FootnoteReference">
    <w:name w:val="footnote reference"/>
    <w:basedOn w:val="DefaultParagraphFont"/>
    <w:uiPriority w:val="99"/>
    <w:semiHidden/>
    <w:unhideWhenUsed/>
    <w:rsid w:val="00443BBB"/>
    <w:rPr>
      <w:vertAlign w:val="superscript"/>
    </w:rPr>
  </w:style>
  <w:style w:type="character" w:styleId="LineNumber">
    <w:name w:val="line number"/>
    <w:basedOn w:val="DefaultParagraphFont"/>
    <w:uiPriority w:val="99"/>
    <w:semiHidden/>
    <w:unhideWhenUsed/>
    <w:rsid w:val="00491CE3"/>
  </w:style>
  <w:style w:type="paragraph" w:styleId="Header">
    <w:name w:val="header"/>
    <w:basedOn w:val="Normal"/>
    <w:link w:val="HeaderChar"/>
    <w:uiPriority w:val="99"/>
    <w:unhideWhenUsed/>
    <w:rsid w:val="00112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741"/>
  </w:style>
  <w:style w:type="paragraph" w:styleId="Footer">
    <w:name w:val="footer"/>
    <w:basedOn w:val="Normal"/>
    <w:link w:val="FooterChar"/>
    <w:uiPriority w:val="99"/>
    <w:unhideWhenUsed/>
    <w:rsid w:val="00112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741"/>
  </w:style>
  <w:style w:type="paragraph" w:customStyle="1" w:styleId="Style">
    <w:name w:val="Style"/>
    <w:rsid w:val="00F6772E"/>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77"/>
    <w:pPr>
      <w:ind w:left="720"/>
      <w:contextualSpacing/>
    </w:pPr>
  </w:style>
  <w:style w:type="paragraph" w:styleId="FootnoteText">
    <w:name w:val="footnote text"/>
    <w:basedOn w:val="Normal"/>
    <w:link w:val="FootnoteTextChar"/>
    <w:uiPriority w:val="99"/>
    <w:semiHidden/>
    <w:unhideWhenUsed/>
    <w:rsid w:val="00443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BBB"/>
    <w:rPr>
      <w:sz w:val="20"/>
      <w:szCs w:val="20"/>
    </w:rPr>
  </w:style>
  <w:style w:type="character" w:styleId="FootnoteReference">
    <w:name w:val="footnote reference"/>
    <w:basedOn w:val="DefaultParagraphFont"/>
    <w:uiPriority w:val="99"/>
    <w:semiHidden/>
    <w:unhideWhenUsed/>
    <w:rsid w:val="00443BBB"/>
    <w:rPr>
      <w:vertAlign w:val="superscript"/>
    </w:rPr>
  </w:style>
  <w:style w:type="character" w:styleId="LineNumber">
    <w:name w:val="line number"/>
    <w:basedOn w:val="DefaultParagraphFont"/>
    <w:uiPriority w:val="99"/>
    <w:semiHidden/>
    <w:unhideWhenUsed/>
    <w:rsid w:val="00491CE3"/>
  </w:style>
  <w:style w:type="paragraph" w:styleId="Header">
    <w:name w:val="header"/>
    <w:basedOn w:val="Normal"/>
    <w:link w:val="HeaderChar"/>
    <w:uiPriority w:val="99"/>
    <w:unhideWhenUsed/>
    <w:rsid w:val="00112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741"/>
  </w:style>
  <w:style w:type="paragraph" w:styleId="Footer">
    <w:name w:val="footer"/>
    <w:basedOn w:val="Normal"/>
    <w:link w:val="FooterChar"/>
    <w:uiPriority w:val="99"/>
    <w:unhideWhenUsed/>
    <w:rsid w:val="00112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741"/>
  </w:style>
  <w:style w:type="paragraph" w:customStyle="1" w:styleId="Style">
    <w:name w:val="Style"/>
    <w:rsid w:val="00F6772E"/>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FEBE-EB22-4285-B41F-66867EA5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32</cp:revision>
  <cp:lastPrinted>2015-02-23T19:56:00Z</cp:lastPrinted>
  <dcterms:created xsi:type="dcterms:W3CDTF">2015-02-20T19:08:00Z</dcterms:created>
  <dcterms:modified xsi:type="dcterms:W3CDTF">2015-02-26T04:03:00Z</dcterms:modified>
</cp:coreProperties>
</file>