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E3" w:rsidRPr="005820E3" w:rsidRDefault="005820E3" w:rsidP="005820E3">
      <w:pPr>
        <w:spacing w:after="0" w:line="240" w:lineRule="auto"/>
        <w:jc w:val="center"/>
        <w:rPr>
          <w:b/>
        </w:rPr>
      </w:pPr>
      <w:r w:rsidRPr="005820E3">
        <w:rPr>
          <w:b/>
        </w:rPr>
        <w:t>NO MORE THAN AN AFFIDAVIT IS NECESSARY</w:t>
      </w:r>
    </w:p>
    <w:p w:rsidR="00BA66EB" w:rsidRPr="005820E3" w:rsidRDefault="005820E3" w:rsidP="005820E3">
      <w:pPr>
        <w:jc w:val="center"/>
        <w:rPr>
          <w:b/>
        </w:rPr>
      </w:pPr>
      <w:r w:rsidRPr="005820E3">
        <w:rPr>
          <w:b/>
        </w:rPr>
        <w:t>TO MAKE THE PRIMA FACIE CASE</w:t>
      </w:r>
    </w:p>
    <w:p w:rsidR="00BA0DFE" w:rsidRDefault="00BA66EB" w:rsidP="005820E3">
      <w:pPr>
        <w:jc w:val="both"/>
      </w:pPr>
      <w:r>
        <w:t xml:space="preserve">No more than </w:t>
      </w:r>
      <w:r w:rsidR="00B95E8E">
        <w:t xml:space="preserve">an </w:t>
      </w:r>
      <w:r>
        <w:t>affidavit</w:t>
      </w:r>
      <w:r w:rsidR="00B95E8E">
        <w:rPr>
          <w:rStyle w:val="FootnoteReference"/>
        </w:rPr>
        <w:footnoteReference w:id="1"/>
      </w:r>
      <w:r>
        <w:t xml:space="preserve"> is necessary to make the prima facie case</w:t>
      </w:r>
      <w:r>
        <w:rPr>
          <w:rStyle w:val="FootnoteReference"/>
        </w:rPr>
        <w:footnoteReference w:id="2"/>
      </w:r>
      <w:r w:rsidR="00B95E8E">
        <w:rPr>
          <w:rStyle w:val="FootnoteReference"/>
        </w:rPr>
        <w:footnoteReference w:id="3"/>
      </w:r>
      <w:r>
        <w:t>.</w:t>
      </w:r>
      <w:r w:rsidR="00B95E8E" w:rsidRPr="00B95E8E">
        <w:t xml:space="preserve"> </w:t>
      </w:r>
      <w:r w:rsidR="00B95E8E">
        <w:t>Allegations in an affidavit in support of a motion</w:t>
      </w:r>
      <w:r w:rsidR="00E604B8">
        <w:t xml:space="preserve"> (action)</w:t>
      </w:r>
      <w:r w:rsidR="00B95E8E">
        <w:t xml:space="preserve"> must be considered as true in absence of counter-affidavit</w:t>
      </w:r>
      <w:r w:rsidR="00B95E8E">
        <w:rPr>
          <w:rStyle w:val="FootnoteReference"/>
        </w:rPr>
        <w:footnoteReference w:id="4"/>
      </w:r>
      <w:r w:rsidR="00B95E8E">
        <w:t xml:space="preserve">. </w:t>
      </w:r>
      <w:r>
        <w:t>"Silence can only be equated with fraud where there is a legal or moral duty to speak, or where an inquiry left unanswered would be intentionally misleading</w:t>
      </w:r>
      <w:r w:rsidR="00BA0DFE">
        <w:rPr>
          <w:rStyle w:val="FootnoteReference"/>
        </w:rPr>
        <w:footnoteReference w:id="5"/>
      </w:r>
      <w:r>
        <w:t>.</w:t>
      </w:r>
      <w:bookmarkStart w:id="0" w:name="_GoBack"/>
      <w:bookmarkEnd w:id="0"/>
    </w:p>
    <w:p w:rsidR="006E4FB1" w:rsidRDefault="007606E4" w:rsidP="005820E3">
      <w:pPr>
        <w:jc w:val="both"/>
      </w:pPr>
      <w:r>
        <w:t>T</w:t>
      </w:r>
      <w:r w:rsidRPr="007606E4">
        <w:t>he appropriate party to attest to the facts is the plaintiff himself, not the plaintiff's attorney</w:t>
      </w:r>
      <w:r>
        <w:rPr>
          <w:rStyle w:val="FootnoteReference"/>
        </w:rPr>
        <w:footnoteReference w:id="6"/>
      </w:r>
      <w:proofErr w:type="gramStart"/>
      <w:r w:rsidRPr="007606E4">
        <w:t>,</w:t>
      </w:r>
      <w:proofErr w:type="gramEnd"/>
      <w:r>
        <w:t xml:space="preserve"> </w:t>
      </w:r>
      <w:r w:rsidRPr="007606E4">
        <w:t>an attorney's affidavit that is not based upon personal knowledge is without value</w:t>
      </w:r>
      <w:r w:rsidR="006E4FB1">
        <w:rPr>
          <w:rStyle w:val="FootnoteReference"/>
        </w:rPr>
        <w:footnoteReference w:id="7"/>
      </w:r>
      <w:r w:rsidR="006E4FB1">
        <w:t xml:space="preserve"> and </w:t>
      </w:r>
      <w:r w:rsidRPr="007606E4">
        <w:t>is insufficient as an affidavit</w:t>
      </w:r>
      <w:r w:rsidR="006E4FB1">
        <w:rPr>
          <w:rStyle w:val="FootnoteReference"/>
        </w:rPr>
        <w:footnoteReference w:id="8"/>
      </w:r>
      <w:r w:rsidR="006E4FB1">
        <w:t>.</w:t>
      </w:r>
    </w:p>
    <w:p w:rsidR="00B04B5F" w:rsidRDefault="00B04B5F" w:rsidP="00BA66EB"/>
    <w:p w:rsidR="00BA66EB" w:rsidRDefault="00BA66EB" w:rsidP="00BA66EB"/>
    <w:p w:rsidR="00E41A29" w:rsidRDefault="00045B06"/>
    <w:sectPr w:rsidR="00E41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06" w:rsidRDefault="00045B06" w:rsidP="00BA66EB">
      <w:pPr>
        <w:spacing w:after="0" w:line="240" w:lineRule="auto"/>
      </w:pPr>
      <w:r>
        <w:separator/>
      </w:r>
    </w:p>
  </w:endnote>
  <w:endnote w:type="continuationSeparator" w:id="0">
    <w:p w:rsidR="00045B06" w:rsidRDefault="00045B06" w:rsidP="00BA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06" w:rsidRDefault="00045B06" w:rsidP="00BA66EB">
      <w:pPr>
        <w:spacing w:after="0" w:line="240" w:lineRule="auto"/>
      </w:pPr>
      <w:r>
        <w:separator/>
      </w:r>
    </w:p>
  </w:footnote>
  <w:footnote w:type="continuationSeparator" w:id="0">
    <w:p w:rsidR="00045B06" w:rsidRDefault="00045B06" w:rsidP="00BA66EB">
      <w:pPr>
        <w:spacing w:after="0" w:line="240" w:lineRule="auto"/>
      </w:pPr>
      <w:r>
        <w:continuationSeparator/>
      </w:r>
    </w:p>
  </w:footnote>
  <w:footnote w:id="1">
    <w:p w:rsidR="00B95E8E" w:rsidRPr="00B95E8E" w:rsidRDefault="00B95E8E" w:rsidP="00B95E8E">
      <w:pPr>
        <w:spacing w:after="0"/>
        <w:jc w:val="both"/>
        <w:rPr>
          <w:sz w:val="16"/>
          <w:szCs w:val="16"/>
        </w:rPr>
      </w:pPr>
      <w:r w:rsidRPr="00BA0DFE">
        <w:rPr>
          <w:rStyle w:val="FootnoteReference"/>
          <w:b/>
          <w:sz w:val="16"/>
          <w:szCs w:val="16"/>
        </w:rPr>
        <w:footnoteRef/>
      </w:r>
      <w:r w:rsidRPr="00BA0DFE">
        <w:rPr>
          <w:b/>
          <w:sz w:val="16"/>
          <w:szCs w:val="16"/>
        </w:rPr>
        <w:t xml:space="preserve"> AFFIDAVIT </w:t>
      </w:r>
      <w:r w:rsidRPr="00B95E8E">
        <w:rPr>
          <w:sz w:val="16"/>
          <w:szCs w:val="16"/>
        </w:rPr>
        <w:t xml:space="preserve">A written or printed declaration or statement of facts, made voluntarily, and confirmed by the oath or affirmation of the party making it, taken before an officer having authority to administer such oath. Cox v. Stern, 170 Ill. 442, 48 N.E. 906, </w:t>
      </w:r>
      <w:proofErr w:type="gramStart"/>
      <w:r w:rsidRPr="00B95E8E">
        <w:rPr>
          <w:sz w:val="16"/>
          <w:szCs w:val="16"/>
        </w:rPr>
        <w:t xml:space="preserve">62 </w:t>
      </w:r>
      <w:proofErr w:type="spellStart"/>
      <w:r w:rsidRPr="00B95E8E">
        <w:rPr>
          <w:sz w:val="16"/>
          <w:szCs w:val="16"/>
        </w:rPr>
        <w:t>Am.St.Rep</w:t>
      </w:r>
      <w:proofErr w:type="spellEnd"/>
      <w:proofErr w:type="gramEnd"/>
      <w:r w:rsidRPr="00B95E8E">
        <w:rPr>
          <w:sz w:val="16"/>
          <w:szCs w:val="16"/>
        </w:rPr>
        <w:t xml:space="preserve">. 385; Hays v. Loomis, 84 Ill. 18. Shelton v. Berry, 19 Tex. 154, </w:t>
      </w:r>
      <w:proofErr w:type="gramStart"/>
      <w:r w:rsidRPr="00B95E8E">
        <w:rPr>
          <w:sz w:val="16"/>
          <w:szCs w:val="16"/>
        </w:rPr>
        <w:t xml:space="preserve">70 </w:t>
      </w:r>
      <w:proofErr w:type="spellStart"/>
      <w:r w:rsidRPr="00B95E8E">
        <w:rPr>
          <w:sz w:val="16"/>
          <w:szCs w:val="16"/>
        </w:rPr>
        <w:t>Am.Dec</w:t>
      </w:r>
      <w:proofErr w:type="spellEnd"/>
      <w:proofErr w:type="gramEnd"/>
      <w:r w:rsidRPr="00B95E8E">
        <w:rPr>
          <w:sz w:val="16"/>
          <w:szCs w:val="16"/>
        </w:rPr>
        <w:t xml:space="preserve">. </w:t>
      </w:r>
      <w:proofErr w:type="gramStart"/>
      <w:r w:rsidRPr="00B95E8E">
        <w:rPr>
          <w:sz w:val="16"/>
          <w:szCs w:val="16"/>
        </w:rPr>
        <w:t xml:space="preserve">326, and In re </w:t>
      </w:r>
      <w:proofErr w:type="spellStart"/>
      <w:r w:rsidRPr="00B95E8E">
        <w:rPr>
          <w:sz w:val="16"/>
          <w:szCs w:val="16"/>
        </w:rPr>
        <w:t>Breidt</w:t>
      </w:r>
      <w:proofErr w:type="spellEnd"/>
      <w:r w:rsidRPr="00B95E8E">
        <w:rPr>
          <w:sz w:val="16"/>
          <w:szCs w:val="16"/>
        </w:rPr>
        <w:t xml:space="preserve">, 84 </w:t>
      </w:r>
      <w:proofErr w:type="spellStart"/>
      <w:r w:rsidRPr="00B95E8E">
        <w:rPr>
          <w:sz w:val="16"/>
          <w:szCs w:val="16"/>
        </w:rPr>
        <w:t>N.J.Eq</w:t>
      </w:r>
      <w:proofErr w:type="spellEnd"/>
      <w:r w:rsidRPr="00B95E8E">
        <w:rPr>
          <w:sz w:val="16"/>
          <w:szCs w:val="16"/>
        </w:rPr>
        <w:t>.</w:t>
      </w:r>
      <w:proofErr w:type="gramEnd"/>
      <w:r w:rsidRPr="00B95E8E">
        <w:rPr>
          <w:sz w:val="16"/>
          <w:szCs w:val="16"/>
        </w:rPr>
        <w:t xml:space="preserve"> </w:t>
      </w:r>
      <w:proofErr w:type="gramStart"/>
      <w:r w:rsidRPr="00B95E8E">
        <w:rPr>
          <w:sz w:val="16"/>
          <w:szCs w:val="16"/>
        </w:rPr>
        <w:t>222, 94 A. 214, 216.</w:t>
      </w:r>
      <w:proofErr w:type="gramEnd"/>
    </w:p>
  </w:footnote>
  <w:footnote w:id="2">
    <w:p w:rsidR="00BA66EB" w:rsidRPr="00BA66EB" w:rsidRDefault="00BA66EB" w:rsidP="00BA66EB">
      <w:pPr>
        <w:pStyle w:val="FootnoteText"/>
        <w:jc w:val="both"/>
        <w:rPr>
          <w:sz w:val="16"/>
          <w:szCs w:val="16"/>
        </w:rPr>
      </w:pPr>
      <w:r w:rsidRPr="00BA66EB">
        <w:rPr>
          <w:rStyle w:val="FootnoteReference"/>
          <w:sz w:val="16"/>
          <w:szCs w:val="16"/>
        </w:rPr>
        <w:footnoteRef/>
      </w:r>
      <w:r w:rsidRPr="00BA66EB">
        <w:rPr>
          <w:sz w:val="16"/>
          <w:szCs w:val="16"/>
        </w:rPr>
        <w:t xml:space="preserve"> “Indeed, no more than affidavits </w:t>
      </w:r>
      <w:proofErr w:type="gramStart"/>
      <w:r w:rsidRPr="00BA66EB">
        <w:rPr>
          <w:sz w:val="16"/>
          <w:szCs w:val="16"/>
        </w:rPr>
        <w:t>is</w:t>
      </w:r>
      <w:proofErr w:type="gramEnd"/>
      <w:r w:rsidRPr="00BA66EB">
        <w:rPr>
          <w:sz w:val="16"/>
          <w:szCs w:val="16"/>
        </w:rPr>
        <w:t xml:space="preserve"> necessary to make the prima facie case.” [United States v. </w:t>
      </w:r>
      <w:proofErr w:type="spellStart"/>
      <w:r w:rsidRPr="00BA66EB">
        <w:rPr>
          <w:sz w:val="16"/>
          <w:szCs w:val="16"/>
        </w:rPr>
        <w:t>Kis</w:t>
      </w:r>
      <w:proofErr w:type="spellEnd"/>
      <w:r w:rsidRPr="00BA66EB">
        <w:rPr>
          <w:sz w:val="16"/>
          <w:szCs w:val="16"/>
        </w:rPr>
        <w:t>, 658 F.2d 526, 536 (7th Cir. 1981); Cert. Denied, 50 U.S. L. W. 2169; S. Ct. March 22, 1982]</w:t>
      </w:r>
    </w:p>
  </w:footnote>
  <w:footnote w:id="3">
    <w:p w:rsidR="00B95E8E" w:rsidRPr="00BA0DFE" w:rsidRDefault="00B95E8E" w:rsidP="00BA0DFE">
      <w:pPr>
        <w:pStyle w:val="FootnoteText"/>
        <w:jc w:val="both"/>
        <w:rPr>
          <w:sz w:val="16"/>
          <w:szCs w:val="16"/>
        </w:rPr>
      </w:pPr>
      <w:r w:rsidRPr="00BA0DFE">
        <w:rPr>
          <w:rStyle w:val="FootnoteReference"/>
          <w:b/>
          <w:sz w:val="16"/>
          <w:szCs w:val="16"/>
        </w:rPr>
        <w:footnoteRef/>
      </w:r>
      <w:r w:rsidRPr="00BA0DFE">
        <w:rPr>
          <w:b/>
          <w:sz w:val="16"/>
          <w:szCs w:val="16"/>
        </w:rPr>
        <w:t xml:space="preserve"> </w:t>
      </w:r>
      <w:r w:rsidR="00BA0DFE" w:rsidRPr="00BA0DFE">
        <w:rPr>
          <w:b/>
          <w:sz w:val="16"/>
          <w:szCs w:val="16"/>
        </w:rPr>
        <w:t>Prima Facie Case</w:t>
      </w:r>
      <w:r w:rsidR="00BA0DFE" w:rsidRPr="00BA0DFE">
        <w:rPr>
          <w:sz w:val="16"/>
          <w:szCs w:val="16"/>
        </w:rPr>
        <w:t xml:space="preserve"> A litigating party is said to have a prima facie case when the evidence in his favor is sufficiently strong for his opponent to be called on to answer it.</w:t>
      </w:r>
    </w:p>
  </w:footnote>
  <w:footnote w:id="4">
    <w:p w:rsidR="00B95E8E" w:rsidRPr="00B95E8E" w:rsidRDefault="00B95E8E" w:rsidP="00B95E8E">
      <w:pPr>
        <w:pStyle w:val="FootnoteText"/>
        <w:jc w:val="both"/>
        <w:rPr>
          <w:sz w:val="16"/>
          <w:szCs w:val="16"/>
        </w:rPr>
      </w:pPr>
      <w:r w:rsidRPr="00B95E8E">
        <w:rPr>
          <w:rStyle w:val="FootnoteReference"/>
          <w:sz w:val="16"/>
          <w:szCs w:val="16"/>
        </w:rPr>
        <w:footnoteRef/>
      </w:r>
      <w:r w:rsidRPr="00B95E8E">
        <w:rPr>
          <w:sz w:val="16"/>
          <w:szCs w:val="16"/>
        </w:rPr>
        <w:t xml:space="preserve"> “Allegations in affidavit in support of motion must be considered as true in absence of counter-affidavit.” [Group v </w:t>
      </w:r>
      <w:proofErr w:type="spellStart"/>
      <w:r w:rsidRPr="00B95E8E">
        <w:rPr>
          <w:sz w:val="16"/>
          <w:szCs w:val="16"/>
        </w:rPr>
        <w:t>Finletter</w:t>
      </w:r>
      <w:proofErr w:type="spellEnd"/>
      <w:r w:rsidRPr="00B95E8E">
        <w:rPr>
          <w:sz w:val="16"/>
          <w:szCs w:val="16"/>
        </w:rPr>
        <w:t xml:space="preserve">, 108 F. Supp. 327 Federal case of Group v </w:t>
      </w:r>
      <w:proofErr w:type="spellStart"/>
      <w:r w:rsidRPr="00B95E8E">
        <w:rPr>
          <w:sz w:val="16"/>
          <w:szCs w:val="16"/>
        </w:rPr>
        <w:t>Finletter</w:t>
      </w:r>
      <w:proofErr w:type="spellEnd"/>
      <w:r w:rsidRPr="00B95E8E">
        <w:rPr>
          <w:sz w:val="16"/>
          <w:szCs w:val="16"/>
        </w:rPr>
        <w:t>, 108 F. Supp. 327]</w:t>
      </w:r>
    </w:p>
  </w:footnote>
  <w:footnote w:id="5">
    <w:p w:rsidR="00BA0DFE" w:rsidRPr="00BA0DFE" w:rsidRDefault="00BA0DFE" w:rsidP="00BA0DFE">
      <w:pPr>
        <w:pStyle w:val="FootnoteText"/>
        <w:jc w:val="both"/>
        <w:rPr>
          <w:sz w:val="16"/>
          <w:szCs w:val="16"/>
        </w:rPr>
      </w:pPr>
      <w:r w:rsidRPr="00BA0DFE">
        <w:rPr>
          <w:rStyle w:val="FootnoteReference"/>
          <w:sz w:val="16"/>
          <w:szCs w:val="16"/>
        </w:rPr>
        <w:footnoteRef/>
      </w:r>
      <w:r w:rsidRPr="00BA0DFE">
        <w:rPr>
          <w:sz w:val="16"/>
          <w:szCs w:val="16"/>
        </w:rPr>
        <w:t xml:space="preserve"> "Silence can only be equated with fraud where there is a legal or moral duty to </w:t>
      </w:r>
      <w:proofErr w:type="gramStart"/>
      <w:r w:rsidRPr="00BA0DFE">
        <w:rPr>
          <w:sz w:val="16"/>
          <w:szCs w:val="16"/>
        </w:rPr>
        <w:t>speak,</w:t>
      </w:r>
      <w:proofErr w:type="gramEnd"/>
      <w:r w:rsidRPr="00BA0DFE">
        <w:rPr>
          <w:sz w:val="16"/>
          <w:szCs w:val="16"/>
        </w:rPr>
        <w:t xml:space="preserve"> or where an inquiry left unanswered would be intentionally misleading. . . We cannot condone this shocking behavior... This sort of deception will not be tolerated and if this is routine it should be corrected immediately." -- U.S. v. </w:t>
      </w:r>
      <w:proofErr w:type="spellStart"/>
      <w:r w:rsidRPr="00BA0DFE">
        <w:rPr>
          <w:sz w:val="16"/>
          <w:szCs w:val="16"/>
        </w:rPr>
        <w:t>Tweel</w:t>
      </w:r>
      <w:proofErr w:type="spellEnd"/>
      <w:r w:rsidRPr="00BA0DFE">
        <w:rPr>
          <w:sz w:val="16"/>
          <w:szCs w:val="16"/>
        </w:rPr>
        <w:t xml:space="preserve">, </w:t>
      </w:r>
      <w:proofErr w:type="gramStart"/>
      <w:r w:rsidRPr="00BA0DFE">
        <w:rPr>
          <w:sz w:val="16"/>
          <w:szCs w:val="16"/>
        </w:rPr>
        <w:t>550 F.2d 297, 299</w:t>
      </w:r>
      <w:proofErr w:type="gramEnd"/>
      <w:r w:rsidRPr="00BA0DFE">
        <w:rPr>
          <w:sz w:val="16"/>
          <w:szCs w:val="16"/>
        </w:rPr>
        <w:t xml:space="preserve">. See also U.S. v. </w:t>
      </w:r>
      <w:proofErr w:type="spellStart"/>
      <w:r w:rsidRPr="00BA0DFE">
        <w:rPr>
          <w:sz w:val="16"/>
          <w:szCs w:val="16"/>
        </w:rPr>
        <w:t>Prudden</w:t>
      </w:r>
      <w:proofErr w:type="spellEnd"/>
      <w:r w:rsidRPr="00BA0DFE">
        <w:rPr>
          <w:sz w:val="16"/>
          <w:szCs w:val="16"/>
        </w:rPr>
        <w:t>, 424 F.2d 1021, 1032; Carmine v. Bowen, 64 A. 932.</w:t>
      </w:r>
    </w:p>
  </w:footnote>
  <w:footnote w:id="6">
    <w:p w:rsidR="007606E4" w:rsidRPr="007606E4" w:rsidRDefault="007606E4">
      <w:pPr>
        <w:pStyle w:val="FootnoteText"/>
        <w:rPr>
          <w:sz w:val="16"/>
          <w:szCs w:val="16"/>
        </w:rPr>
      </w:pPr>
      <w:r w:rsidRPr="007606E4">
        <w:rPr>
          <w:rStyle w:val="FootnoteReference"/>
          <w:sz w:val="16"/>
          <w:szCs w:val="16"/>
        </w:rPr>
        <w:footnoteRef/>
      </w:r>
      <w:r w:rsidRPr="007606E4">
        <w:rPr>
          <w:sz w:val="16"/>
          <w:szCs w:val="16"/>
        </w:rPr>
        <w:t xml:space="preserve"> </w:t>
      </w:r>
      <w:proofErr w:type="gramStart"/>
      <w:r w:rsidRPr="007606E4">
        <w:rPr>
          <w:sz w:val="16"/>
          <w:szCs w:val="16"/>
        </w:rPr>
        <w:t>Leather Facts, Inc. v. Foy, 157 Misc. 2d 35, 595 N.Y.S.2d 874 (City Civ. Ct. 1993).</w:t>
      </w:r>
      <w:proofErr w:type="gramEnd"/>
    </w:p>
  </w:footnote>
  <w:footnote w:id="7">
    <w:p w:rsidR="006E4FB1" w:rsidRPr="006E4FB1" w:rsidRDefault="006E4FB1">
      <w:pPr>
        <w:pStyle w:val="FootnoteText"/>
        <w:rPr>
          <w:sz w:val="16"/>
          <w:szCs w:val="16"/>
        </w:rPr>
      </w:pPr>
      <w:r w:rsidRPr="006E4FB1">
        <w:rPr>
          <w:rStyle w:val="FootnoteReference"/>
          <w:sz w:val="16"/>
          <w:szCs w:val="16"/>
        </w:rPr>
        <w:footnoteRef/>
      </w:r>
      <w:r w:rsidRPr="006E4FB1">
        <w:rPr>
          <w:sz w:val="16"/>
          <w:szCs w:val="16"/>
        </w:rPr>
        <w:t xml:space="preserve"> </w:t>
      </w:r>
      <w:proofErr w:type="spellStart"/>
      <w:r w:rsidRPr="006E4FB1">
        <w:rPr>
          <w:sz w:val="16"/>
          <w:szCs w:val="16"/>
        </w:rPr>
        <w:t>Romel</w:t>
      </w:r>
      <w:proofErr w:type="spellEnd"/>
      <w:r w:rsidRPr="006E4FB1">
        <w:rPr>
          <w:sz w:val="16"/>
          <w:szCs w:val="16"/>
        </w:rPr>
        <w:t xml:space="preserve"> v. </w:t>
      </w:r>
      <w:proofErr w:type="spellStart"/>
      <w:r w:rsidRPr="006E4FB1">
        <w:rPr>
          <w:sz w:val="16"/>
          <w:szCs w:val="16"/>
        </w:rPr>
        <w:t>Reale</w:t>
      </w:r>
      <w:proofErr w:type="spellEnd"/>
      <w:r w:rsidRPr="006E4FB1">
        <w:rPr>
          <w:sz w:val="16"/>
          <w:szCs w:val="16"/>
        </w:rPr>
        <w:t>, 155 A.D.2d 747, 547 N.Y.S.2d 691 (3d Dep't 1989)</w:t>
      </w:r>
    </w:p>
  </w:footnote>
  <w:footnote w:id="8">
    <w:p w:rsidR="006E4FB1" w:rsidRPr="006E4FB1" w:rsidRDefault="006E4FB1">
      <w:pPr>
        <w:pStyle w:val="FootnoteText"/>
        <w:rPr>
          <w:sz w:val="16"/>
          <w:szCs w:val="16"/>
        </w:rPr>
      </w:pPr>
      <w:r w:rsidRPr="006E4FB1">
        <w:rPr>
          <w:rStyle w:val="FootnoteReference"/>
          <w:sz w:val="16"/>
          <w:szCs w:val="16"/>
        </w:rPr>
        <w:footnoteRef/>
      </w:r>
      <w:r w:rsidRPr="006E4FB1">
        <w:rPr>
          <w:sz w:val="16"/>
          <w:szCs w:val="16"/>
        </w:rPr>
        <w:t xml:space="preserve"> Schwarz v. Smith, 325 S.W.2d 407 (Tex. Civ. App. Waco 1959), writ refused </w:t>
      </w:r>
      <w:proofErr w:type="spellStart"/>
      <w:r w:rsidRPr="006E4FB1">
        <w:rPr>
          <w:sz w:val="16"/>
          <w:szCs w:val="16"/>
        </w:rPr>
        <w:t>n.r.e</w:t>
      </w:r>
      <w:proofErr w:type="spellEnd"/>
      <w:r w:rsidRPr="006E4FB1">
        <w:rPr>
          <w:sz w:val="16"/>
          <w:szCs w:val="16"/>
        </w:rPr>
        <w:t>., 160 Tex. 280, 329 S.W.2d 83 (1959).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EB"/>
    <w:rsid w:val="00045B06"/>
    <w:rsid w:val="000511C5"/>
    <w:rsid w:val="000B264B"/>
    <w:rsid w:val="00392918"/>
    <w:rsid w:val="005820E3"/>
    <w:rsid w:val="006E4FB1"/>
    <w:rsid w:val="007606E4"/>
    <w:rsid w:val="00B04B5F"/>
    <w:rsid w:val="00B95E8E"/>
    <w:rsid w:val="00BA0DFE"/>
    <w:rsid w:val="00BA66EB"/>
    <w:rsid w:val="00E604B8"/>
    <w:rsid w:val="00F7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6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EB"/>
    <w:rPr>
      <w:sz w:val="20"/>
      <w:szCs w:val="20"/>
    </w:rPr>
  </w:style>
  <w:style w:type="character" w:styleId="FootnoteReference">
    <w:name w:val="footnote reference"/>
    <w:basedOn w:val="DefaultParagraphFont"/>
    <w:uiPriority w:val="99"/>
    <w:semiHidden/>
    <w:unhideWhenUsed/>
    <w:rsid w:val="00BA66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6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6EB"/>
    <w:rPr>
      <w:sz w:val="20"/>
      <w:szCs w:val="20"/>
    </w:rPr>
  </w:style>
  <w:style w:type="character" w:styleId="FootnoteReference">
    <w:name w:val="footnote reference"/>
    <w:basedOn w:val="DefaultParagraphFont"/>
    <w:uiPriority w:val="99"/>
    <w:semiHidden/>
    <w:unhideWhenUsed/>
    <w:rsid w:val="00BA6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62F2-9F4E-4900-9183-8B29E34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2015-02-24T23:50:00Z</dcterms:created>
  <dcterms:modified xsi:type="dcterms:W3CDTF">2015-02-26T03:06:00Z</dcterms:modified>
</cp:coreProperties>
</file>