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4C" w:rsidRPr="00533BC5" w:rsidRDefault="00533BC5" w:rsidP="00533BC5">
      <w:pPr>
        <w:spacing w:after="0"/>
        <w:jc w:val="center"/>
        <w:rPr>
          <w:b/>
          <w:sz w:val="28"/>
          <w:szCs w:val="28"/>
        </w:rPr>
      </w:pPr>
      <w:r w:rsidRPr="00533BC5">
        <w:rPr>
          <w:b/>
          <w:sz w:val="28"/>
          <w:szCs w:val="28"/>
        </w:rPr>
        <w:t>DE FACTO -v- DE JURE</w:t>
      </w:r>
    </w:p>
    <w:p w:rsidR="00C0254B" w:rsidRDefault="001D3C4C" w:rsidP="00533BC5">
      <w:pPr>
        <w:spacing w:line="240" w:lineRule="auto"/>
        <w:ind w:left="720" w:right="720"/>
        <w:jc w:val="both"/>
      </w:pPr>
      <w:r w:rsidRPr="001D3C4C">
        <w:t>DE FACTO -v- DE JURE "</w:t>
      </w:r>
      <w:r w:rsidRPr="001D3C4C">
        <w:rPr>
          <w:i/>
        </w:rPr>
        <w:t>An officer, king, or government de facto is one who is in actual possession of the office or supreme power, but by usurpation, or without lawful title; while an officer, king, or governor de jure is one who has just claim and rightful title to the office or power, but has never had plenary possession of it, or is not in actual possession</w:t>
      </w:r>
      <w:r w:rsidRPr="001D3C4C">
        <w:t xml:space="preserve">." </w:t>
      </w:r>
      <w:proofErr w:type="gramStart"/>
      <w:r>
        <w:t xml:space="preserve">- </w:t>
      </w:r>
      <w:r w:rsidRPr="001D3C4C">
        <w:t xml:space="preserve">4 </w:t>
      </w:r>
      <w:proofErr w:type="spellStart"/>
      <w:r w:rsidRPr="001D3C4C">
        <w:t>Bl.Comm</w:t>
      </w:r>
      <w:proofErr w:type="spellEnd"/>
      <w:r w:rsidRPr="001D3C4C">
        <w:t>.</w:t>
      </w:r>
      <w:proofErr w:type="gramEnd"/>
      <w:r w:rsidRPr="001D3C4C">
        <w:t xml:space="preserve"> </w:t>
      </w:r>
      <w:proofErr w:type="gramStart"/>
      <w:r w:rsidRPr="001D3C4C">
        <w:t>77, 78.</w:t>
      </w:r>
      <w:proofErr w:type="gramEnd"/>
      <w:r w:rsidRPr="001D3C4C">
        <w:t xml:space="preserve"> MacLeod v. United States, 229 U.S. 416, 33 </w:t>
      </w:r>
      <w:proofErr w:type="spellStart"/>
      <w:r w:rsidRPr="001D3C4C">
        <w:t>S.Ct</w:t>
      </w:r>
      <w:proofErr w:type="spellEnd"/>
      <w:r w:rsidRPr="001D3C4C">
        <w:t xml:space="preserve">. 955, </w:t>
      </w:r>
      <w:proofErr w:type="gramStart"/>
      <w:r w:rsidRPr="001D3C4C">
        <w:t xml:space="preserve">57 </w:t>
      </w:r>
      <w:proofErr w:type="spellStart"/>
      <w:r w:rsidRPr="001D3C4C">
        <w:t>L.Ed</w:t>
      </w:r>
      <w:proofErr w:type="spellEnd"/>
      <w:proofErr w:type="gramEnd"/>
      <w:r w:rsidRPr="001D3C4C">
        <w:t xml:space="preserve">. </w:t>
      </w:r>
      <w:proofErr w:type="gramStart"/>
      <w:r w:rsidRPr="001D3C4C">
        <w:t>1260; Wheatley v. Consolidated Lumber Co., 167 Cal. 441, 139 P. 1057, 1059.</w:t>
      </w:r>
      <w:proofErr w:type="gramEnd"/>
    </w:p>
    <w:p w:rsidR="00BB6B57" w:rsidRDefault="00BB6B57" w:rsidP="00232275">
      <w:pPr>
        <w:spacing w:after="0"/>
        <w:jc w:val="both"/>
      </w:pPr>
    </w:p>
    <w:p w:rsidR="001D3C4C" w:rsidRDefault="00533BC5" w:rsidP="002C0A5E">
      <w:pPr>
        <w:spacing w:after="0"/>
        <w:jc w:val="both"/>
      </w:pPr>
      <w:r>
        <w:t xml:space="preserve">The United States Supreme Court </w:t>
      </w:r>
      <w:r w:rsidR="00C0254B">
        <w:t>s</w:t>
      </w:r>
      <w:r>
        <w:t>aid that</w:t>
      </w:r>
      <w:r w:rsidR="00C0254B">
        <w:t xml:space="preserve"> when a court de-jure exists that it supersedes the de-facto court’s decisions.</w:t>
      </w:r>
    </w:p>
    <w:p w:rsidR="001D3C4C" w:rsidRDefault="001D3C4C" w:rsidP="002C0A5E">
      <w:pPr>
        <w:ind w:left="1440" w:right="720"/>
        <w:jc w:val="both"/>
      </w:pPr>
      <w:r>
        <w:t>“</w:t>
      </w:r>
      <w:r w:rsidRPr="00464215">
        <w:rPr>
          <w:i/>
          <w:u w:val="single"/>
        </w:rPr>
        <w:t>While acts of a de facto incumbent</w:t>
      </w:r>
      <w:r w:rsidRPr="001D3C4C">
        <w:rPr>
          <w:i/>
        </w:rPr>
        <w:t xml:space="preserve"> of an office lawfully created by law and existing are often held to be binding from reasons of public policy, </w:t>
      </w:r>
      <w:r w:rsidRPr="00464215">
        <w:rPr>
          <w:i/>
          <w:u w:val="single"/>
        </w:rPr>
        <w:t>the acts of a person assuming to fill and perform the duties of an office which does not exist de jure can have no validity whatever in law</w:t>
      </w:r>
      <w:r w:rsidRPr="001D3C4C">
        <w:rPr>
          <w:i/>
        </w:rPr>
        <w:t>. An unconstitutional act is not a law; it confers no rights; it imposes no duties; it affords no protection; it creates no office; it is in legal contemplation as inoperative as though it had never been passed</w:t>
      </w:r>
      <w:r>
        <w:t>.” - Norton v. Shelby County, 118 U.S. 425 (1886)</w:t>
      </w:r>
    </w:p>
    <w:p w:rsidR="002C0A5E" w:rsidRDefault="00533BC5" w:rsidP="000B3DE0">
      <w:pPr>
        <w:jc w:val="both"/>
        <w:rPr>
          <w:i/>
        </w:rPr>
      </w:pPr>
      <w:r w:rsidRPr="00533BC5">
        <w:rPr>
          <w:b/>
          <w:u w:val="single"/>
        </w:rPr>
        <w:t xml:space="preserve">MISCONCEPTION TAUGHT ON </w:t>
      </w:r>
      <w:r>
        <w:rPr>
          <w:b/>
          <w:u w:val="single"/>
        </w:rPr>
        <w:t>QUESTIONABLE WEB-SITES</w:t>
      </w:r>
      <w:r>
        <w:tab/>
        <w:t>- “</w:t>
      </w:r>
      <w:r w:rsidR="00C0254B" w:rsidRPr="00533BC5">
        <w:rPr>
          <w:i/>
        </w:rPr>
        <w:t xml:space="preserve">a de-jure grand jury can’t tell a corporate de-facto employee what to do because of </w:t>
      </w:r>
      <w:r w:rsidR="00C0254B" w:rsidRPr="00533BC5">
        <w:rPr>
          <w:i/>
          <w:u w:val="single"/>
        </w:rPr>
        <w:t>prior superseding agreements</w:t>
      </w:r>
      <w:r w:rsidR="00C0254B" w:rsidRPr="00533BC5">
        <w:rPr>
          <w:i/>
        </w:rPr>
        <w:t xml:space="preserve">. </w:t>
      </w:r>
      <w:r w:rsidR="00C0254B" w:rsidRPr="00533BC5">
        <w:t>[</w:t>
      </w:r>
      <w:r w:rsidR="00C0254B" w:rsidRPr="00533BC5">
        <w:rPr>
          <w:b/>
          <w:u w:val="single"/>
        </w:rPr>
        <w:t>Under fraud</w:t>
      </w:r>
      <w:r w:rsidR="00C0254B" w:rsidRPr="00533BC5">
        <w:t>]</w:t>
      </w:r>
      <w:r w:rsidR="00C0254B" w:rsidRPr="00533BC5">
        <w:rPr>
          <w:i/>
        </w:rPr>
        <w:t xml:space="preserve"> The </w:t>
      </w:r>
      <w:r w:rsidR="00C0254B" w:rsidRPr="00533BC5">
        <w:rPr>
          <w:i/>
          <w:u w:val="single"/>
        </w:rPr>
        <w:t>de-facto are not obeying their own corporate supreme court rulings</w:t>
      </w:r>
      <w:r w:rsidR="002C0A5E" w:rsidRPr="002C0A5E">
        <w:rPr>
          <w:i/>
        </w:rPr>
        <w:t xml:space="preserve"> </w:t>
      </w:r>
      <w:r w:rsidR="002C0A5E" w:rsidRPr="002C0A5E">
        <w:t>(</w:t>
      </w:r>
      <w:r w:rsidR="002C0A5E">
        <w:rPr>
          <w:b/>
          <w:u w:val="single"/>
        </w:rPr>
        <w:t>t</w:t>
      </w:r>
      <w:r w:rsidR="002C0A5E" w:rsidRPr="002C0A5E">
        <w:rPr>
          <w:b/>
          <w:u w:val="single"/>
        </w:rPr>
        <w:t>heir sandbox</w:t>
      </w:r>
      <w:r w:rsidR="002C0A5E" w:rsidRPr="002C0A5E">
        <w:t>)</w:t>
      </w:r>
      <w:r w:rsidR="00C0254B" w:rsidRPr="00533BC5">
        <w:rPr>
          <w:i/>
        </w:rPr>
        <w:t xml:space="preserve"> but the </w:t>
      </w:r>
      <w:r w:rsidR="00C0254B" w:rsidRPr="00533BC5">
        <w:rPr>
          <w:i/>
          <w:u w:val="single"/>
        </w:rPr>
        <w:t>de-jure grand juries are being naïve to think that they can go tell a corporation on how to run its operations</w:t>
      </w:r>
      <w:r w:rsidR="00C0254B" w:rsidRPr="00533BC5">
        <w:rPr>
          <w:i/>
        </w:rPr>
        <w:t xml:space="preserve"> when all the employees</w:t>
      </w:r>
      <w:r w:rsidR="0080632F">
        <w:rPr>
          <w:i/>
        </w:rPr>
        <w:t>,</w:t>
      </w:r>
      <w:r w:rsidR="00C0254B" w:rsidRPr="00533BC5">
        <w:rPr>
          <w:i/>
        </w:rPr>
        <w:t xml:space="preserve"> U.S. citizens</w:t>
      </w:r>
      <w:r w:rsidR="0080632F">
        <w:rPr>
          <w:i/>
        </w:rPr>
        <w:t>,</w:t>
      </w:r>
      <w:r w:rsidR="00C0254B" w:rsidRPr="00533BC5">
        <w:rPr>
          <w:i/>
        </w:rPr>
        <w:t xml:space="preserve"> have pre-consented and released them from any ruling that they are giving the citizen. The </w:t>
      </w:r>
      <w:r w:rsidR="00C0254B" w:rsidRPr="00533BC5">
        <w:rPr>
          <w:i/>
          <w:u w:val="single"/>
        </w:rPr>
        <w:t>citizen must first change his status</w:t>
      </w:r>
      <w:r w:rsidR="00C0254B" w:rsidRPr="00533BC5">
        <w:rPr>
          <w:i/>
        </w:rPr>
        <w:t xml:space="preserve"> to be a Citizen (state of the Union) and they all the de-jure grand jury members must also be state of the Union Citizens, and </w:t>
      </w:r>
      <w:r w:rsidR="00C0254B" w:rsidRPr="00533BC5">
        <w:rPr>
          <w:i/>
          <w:u w:val="single"/>
        </w:rPr>
        <w:t>then you can commence without any prior written (adhesion) contracts in place that supersede the Constitution</w:t>
      </w:r>
      <w:r w:rsidR="00C0254B" w:rsidRPr="00533BC5">
        <w:rPr>
          <w:i/>
        </w:rPr>
        <w:t xml:space="preserve">. It’s called </w:t>
      </w:r>
      <w:r w:rsidR="00C0254B" w:rsidRPr="00533BC5">
        <w:rPr>
          <w:i/>
          <w:u w:val="single"/>
        </w:rPr>
        <w:t>subject matter jurisdiction</w:t>
      </w:r>
      <w:r w:rsidR="00C0254B" w:rsidRPr="00533BC5">
        <w:rPr>
          <w:i/>
        </w:rPr>
        <w:t xml:space="preserve">. Take that away from the court and they have a big problem.  </w:t>
      </w:r>
    </w:p>
    <w:p w:rsidR="00ED24B8" w:rsidRDefault="000B3DE0" w:rsidP="00ED24B8">
      <w:pPr>
        <w:autoSpaceDE w:val="0"/>
        <w:autoSpaceDN w:val="0"/>
        <w:adjustRightInd w:val="0"/>
        <w:spacing w:after="0" w:line="240" w:lineRule="auto"/>
        <w:jc w:val="both"/>
        <w:rPr>
          <w:rFonts w:cstheme="minorHAnsi"/>
        </w:rPr>
      </w:pPr>
      <w:r w:rsidRPr="00AB6EAD">
        <w:rPr>
          <w:rFonts w:cstheme="minorHAnsi"/>
          <w:b/>
        </w:rPr>
        <w:t>PROBLEM:</w:t>
      </w:r>
      <w:r w:rsidRPr="00AB6EAD">
        <w:rPr>
          <w:rFonts w:cstheme="minorHAnsi"/>
        </w:rPr>
        <w:t xml:space="preserve"> </w:t>
      </w:r>
      <w:r w:rsidR="0080632F" w:rsidRPr="00AB6EAD">
        <w:rPr>
          <w:rFonts w:cstheme="minorHAnsi"/>
        </w:rPr>
        <w:t>First of all no such contact can exist because rights are inalienable</w:t>
      </w:r>
      <w:r w:rsidR="00AB6EAD" w:rsidRPr="00AB6EAD">
        <w:rPr>
          <w:rFonts w:cstheme="minorHAnsi"/>
        </w:rPr>
        <w:t>.</w:t>
      </w:r>
      <w:r w:rsidR="00AB6EAD">
        <w:rPr>
          <w:rFonts w:cstheme="minorHAnsi"/>
        </w:rPr>
        <w:t xml:space="preserve"> Blacks 4</w:t>
      </w:r>
      <w:r w:rsidR="00AB6EAD" w:rsidRPr="00AB6EAD">
        <w:rPr>
          <w:rFonts w:cstheme="minorHAnsi"/>
          <w:vertAlign w:val="superscript"/>
        </w:rPr>
        <w:t>th</w:t>
      </w:r>
      <w:r w:rsidR="00AB6EAD">
        <w:rPr>
          <w:rFonts w:cstheme="minorHAnsi"/>
        </w:rPr>
        <w:t xml:space="preserve"> </w:t>
      </w:r>
      <w:r w:rsidR="00AB6EAD" w:rsidRPr="00AB6EAD">
        <w:rPr>
          <w:rFonts w:cstheme="minorHAnsi"/>
          <w:b/>
          <w:u w:val="single"/>
        </w:rPr>
        <w:t>UNALIENABLE</w:t>
      </w:r>
      <w:r w:rsidR="00AB6EAD" w:rsidRPr="00AB6EAD">
        <w:rPr>
          <w:rFonts w:cstheme="minorHAnsi"/>
        </w:rPr>
        <w:t xml:space="preserve"> Inalienable; incapable of being</w:t>
      </w:r>
      <w:r w:rsidR="00AB6EAD">
        <w:rPr>
          <w:rFonts w:cstheme="minorHAnsi"/>
        </w:rPr>
        <w:t xml:space="preserve"> </w:t>
      </w:r>
      <w:r w:rsidR="00AB6EAD" w:rsidRPr="00AB6EAD">
        <w:rPr>
          <w:rFonts w:cstheme="minorHAnsi"/>
        </w:rPr>
        <w:t>aliened, that is, sold and transferred.</w:t>
      </w:r>
      <w:r w:rsidR="00AB6EAD">
        <w:rPr>
          <w:rFonts w:cstheme="minorHAnsi"/>
        </w:rPr>
        <w:t xml:space="preserve"> This was clearly stated as a </w:t>
      </w:r>
      <w:proofErr w:type="spellStart"/>
      <w:r w:rsidR="00AB6EAD">
        <w:rPr>
          <w:rFonts w:cstheme="minorHAnsi"/>
        </w:rPr>
        <w:t>self evident</w:t>
      </w:r>
      <w:proofErr w:type="spellEnd"/>
      <w:r w:rsidR="00AB6EAD">
        <w:rPr>
          <w:rFonts w:cstheme="minorHAnsi"/>
        </w:rPr>
        <w:t xml:space="preserve"> truth in the Declaration of Independence where we read: “</w:t>
      </w:r>
      <w:r w:rsidR="00AB6EAD" w:rsidRPr="00AB6EAD">
        <w:rPr>
          <w:rFonts w:cstheme="minorHAnsi"/>
        </w:rPr>
        <w:t>We hold these truths to be self-evident, that all men are created equal, that they are endowed by their Creator</w:t>
      </w:r>
      <w:r w:rsidR="00AB6EAD">
        <w:rPr>
          <w:rFonts w:cstheme="minorHAnsi"/>
        </w:rPr>
        <w:t xml:space="preserve"> </w:t>
      </w:r>
      <w:r w:rsidR="00AB6EAD" w:rsidRPr="00AB6EAD">
        <w:rPr>
          <w:rFonts w:cstheme="minorHAnsi"/>
        </w:rPr>
        <w:t>with certain unalienable Rights</w:t>
      </w:r>
      <w:r w:rsidR="00AB6EAD">
        <w:rPr>
          <w:rFonts w:cstheme="minorHAnsi"/>
        </w:rPr>
        <w:t>.” And, acknowledged again in t</w:t>
      </w:r>
      <w:r w:rsidR="00AB6EAD">
        <w:rPr>
          <w:rFonts w:cstheme="minorHAnsi"/>
        </w:rPr>
        <w:t xml:space="preserve">he preamble </w:t>
      </w:r>
      <w:r w:rsidR="00ED24B8">
        <w:rPr>
          <w:rFonts w:cstheme="minorHAnsi"/>
        </w:rPr>
        <w:t xml:space="preserve">which “decreed” </w:t>
      </w:r>
      <w:r w:rsidR="00AB6EAD">
        <w:rPr>
          <w:rFonts w:cstheme="minorHAnsi"/>
        </w:rPr>
        <w:t xml:space="preserve">that the purpose of government was to secure </w:t>
      </w:r>
      <w:r w:rsidR="00AB6EAD" w:rsidRPr="00AB6EAD">
        <w:rPr>
          <w:rFonts w:cstheme="minorHAnsi"/>
        </w:rPr>
        <w:t>“</w:t>
      </w:r>
      <w:r w:rsidR="00AB6EAD" w:rsidRPr="00AB6EAD">
        <w:rPr>
          <w:rFonts w:cstheme="minorHAnsi"/>
          <w:i/>
          <w:u w:val="single"/>
        </w:rPr>
        <w:t>the blessings of liberty to</w:t>
      </w:r>
      <w:r w:rsidR="00AB6EAD" w:rsidRPr="00AB6EAD">
        <w:rPr>
          <w:rFonts w:cstheme="minorHAnsi"/>
          <w:i/>
          <w:u w:val="single"/>
        </w:rPr>
        <w:t xml:space="preserve"> </w:t>
      </w:r>
      <w:r w:rsidR="00AB6EAD" w:rsidRPr="00AB6EAD">
        <w:rPr>
          <w:rFonts w:cstheme="minorHAnsi"/>
          <w:i/>
          <w:u w:val="single"/>
        </w:rPr>
        <w:t>ourselves and our posterity</w:t>
      </w:r>
      <w:r w:rsidR="00ED24B8" w:rsidRPr="00ED24B8">
        <w:rPr>
          <w:rFonts w:cstheme="minorHAnsi"/>
          <w:i/>
        </w:rPr>
        <w:t>.</w:t>
      </w:r>
      <w:r w:rsidR="00AB6EAD">
        <w:rPr>
          <w:rFonts w:cstheme="minorHAnsi"/>
        </w:rPr>
        <w:t xml:space="preserve">” </w:t>
      </w:r>
      <w:r w:rsidR="00ED24B8">
        <w:rPr>
          <w:rFonts w:cstheme="minorHAnsi"/>
        </w:rPr>
        <w:t xml:space="preserve">Second because the essence of the so called contract was hidden it becomes a fraud and unenforceable. </w:t>
      </w:r>
    </w:p>
    <w:p w:rsidR="00ED24B8" w:rsidRDefault="00ED24B8" w:rsidP="00ED24B8">
      <w:pPr>
        <w:autoSpaceDE w:val="0"/>
        <w:autoSpaceDN w:val="0"/>
        <w:adjustRightInd w:val="0"/>
        <w:spacing w:after="0" w:line="240" w:lineRule="auto"/>
        <w:jc w:val="both"/>
        <w:rPr>
          <w:rFonts w:cstheme="minorHAnsi"/>
        </w:rPr>
      </w:pPr>
    </w:p>
    <w:p w:rsidR="005143CB" w:rsidRDefault="00ED24B8" w:rsidP="00ED24B8">
      <w:pPr>
        <w:autoSpaceDE w:val="0"/>
        <w:autoSpaceDN w:val="0"/>
        <w:adjustRightInd w:val="0"/>
        <w:spacing w:after="0" w:line="240" w:lineRule="auto"/>
        <w:jc w:val="both"/>
      </w:pPr>
      <w:r>
        <w:rPr>
          <w:rFonts w:cstheme="minorHAnsi"/>
        </w:rPr>
        <w:t>Furthermore, i</w:t>
      </w:r>
      <w:r w:rsidR="000B3DE0" w:rsidRPr="00AB6EAD">
        <w:rPr>
          <w:rFonts w:cstheme="minorHAnsi"/>
        </w:rPr>
        <w:t>f the de-facto court</w:t>
      </w:r>
      <w:r>
        <w:rPr>
          <w:rFonts w:cstheme="minorHAnsi"/>
        </w:rPr>
        <w:t>s</w:t>
      </w:r>
      <w:r w:rsidR="000B3DE0" w:rsidRPr="00AB6EAD">
        <w:rPr>
          <w:rFonts w:cstheme="minorHAnsi"/>
        </w:rPr>
        <w:t xml:space="preserve"> </w:t>
      </w:r>
      <w:r>
        <w:rPr>
          <w:rFonts w:cstheme="minorHAnsi"/>
        </w:rPr>
        <w:t>are not honorable to</w:t>
      </w:r>
      <w:r w:rsidR="000B3DE0" w:rsidRPr="00AB6EAD">
        <w:rPr>
          <w:rFonts w:cstheme="minorHAnsi"/>
        </w:rPr>
        <w:t xml:space="preserve"> obey their own statutes</w:t>
      </w:r>
      <w:r w:rsidR="002C0A5E" w:rsidRPr="00AB6EAD">
        <w:rPr>
          <w:rFonts w:cstheme="minorHAnsi"/>
        </w:rPr>
        <w:t xml:space="preserve"> during the course of the</w:t>
      </w:r>
      <w:r w:rsidR="003225A5" w:rsidRPr="00AB6EAD">
        <w:rPr>
          <w:rFonts w:cstheme="minorHAnsi"/>
        </w:rPr>
        <w:t xml:space="preserve">ir </w:t>
      </w:r>
      <w:r>
        <w:rPr>
          <w:rFonts w:cstheme="minorHAnsi"/>
        </w:rPr>
        <w:t xml:space="preserve">own court </w:t>
      </w:r>
      <w:r w:rsidR="003225A5" w:rsidRPr="00AB6EAD">
        <w:rPr>
          <w:rFonts w:cstheme="minorHAnsi"/>
        </w:rPr>
        <w:t xml:space="preserve">rulings </w:t>
      </w:r>
      <w:r w:rsidR="000B3DE0" w:rsidRPr="00AB6EAD">
        <w:rPr>
          <w:rFonts w:cstheme="minorHAnsi"/>
        </w:rPr>
        <w:t xml:space="preserve">are we that naïve to think </w:t>
      </w:r>
      <w:r w:rsidR="000B3DE0">
        <w:t>that if we “statutorily” change our status</w:t>
      </w:r>
      <w:r w:rsidR="003225A5">
        <w:t>,</w:t>
      </w:r>
      <w:r w:rsidR="000B3DE0">
        <w:t xml:space="preserve"> </w:t>
      </w:r>
      <w:r w:rsidR="0080632F">
        <w:t>“</w:t>
      </w:r>
      <w:r w:rsidR="0080632F" w:rsidRPr="0080632F">
        <w:rPr>
          <w:u w:val="single"/>
        </w:rPr>
        <w:t xml:space="preserve">which is a </w:t>
      </w:r>
      <w:r w:rsidR="003225A5" w:rsidRPr="0080632F">
        <w:rPr>
          <w:u w:val="single"/>
        </w:rPr>
        <w:t>creation of their statutes</w:t>
      </w:r>
      <w:r w:rsidR="003225A5">
        <w:t>,</w:t>
      </w:r>
      <w:r w:rsidR="0080632F">
        <w:t>”</w:t>
      </w:r>
      <w:r w:rsidR="003225A5">
        <w:t xml:space="preserve"> that </w:t>
      </w:r>
      <w:r w:rsidR="000B3DE0">
        <w:t xml:space="preserve">they will then </w:t>
      </w:r>
      <w:r w:rsidR="006500A8">
        <w:t xml:space="preserve">somehow </w:t>
      </w:r>
      <w:r w:rsidR="001D3C4C">
        <w:t>become honorable</w:t>
      </w:r>
      <w:r w:rsidR="003225A5">
        <w:t>,</w:t>
      </w:r>
      <w:r w:rsidR="001D3C4C">
        <w:t xml:space="preserve"> </w:t>
      </w:r>
      <w:r w:rsidR="000B3DE0">
        <w:t>obey their own statutes</w:t>
      </w:r>
      <w:r w:rsidR="003225A5">
        <w:t>,</w:t>
      </w:r>
      <w:r w:rsidR="001D3C4C">
        <w:t xml:space="preserve"> </w:t>
      </w:r>
      <w:r w:rsidR="003225A5">
        <w:t>humbly deny themselves</w:t>
      </w:r>
      <w:r w:rsidR="006500A8" w:rsidRPr="006500A8">
        <w:t xml:space="preserve"> </w:t>
      </w:r>
      <w:r w:rsidR="006500A8">
        <w:t>and return power to the People</w:t>
      </w:r>
      <w:r w:rsidR="000B3DE0">
        <w:t>?</w:t>
      </w:r>
      <w:r w:rsidR="003225A5">
        <w:t xml:space="preserve"> </w:t>
      </w:r>
      <w:r>
        <w:t>And,</w:t>
      </w:r>
      <w:r w:rsidR="006500A8">
        <w:t xml:space="preserve"> d</w:t>
      </w:r>
      <w:r w:rsidR="003225A5">
        <w:t>oesn’t such an action place us under the very jurisdiction we are trying to escape by complying to their fiction?</w:t>
      </w:r>
      <w:r>
        <w:t xml:space="preserve"> </w:t>
      </w:r>
      <w:r w:rsidR="003225A5">
        <w:t>If you argue jurisdiction in their court you submit to their jurisdiction</w:t>
      </w:r>
      <w:r w:rsidR="000F6946">
        <w:t xml:space="preserve"> and you lose.</w:t>
      </w:r>
      <w:r w:rsidR="003225A5">
        <w:t xml:space="preserve"> </w:t>
      </w:r>
      <w:r w:rsidR="000F6946">
        <w:t xml:space="preserve">Likewise if you follow a statutory prescription designed, by them, to give you status </w:t>
      </w:r>
      <w:r w:rsidR="005143CB">
        <w:t xml:space="preserve">in their court </w:t>
      </w:r>
      <w:r w:rsidR="000F6946">
        <w:t xml:space="preserve">so that you can argue jurisdiction </w:t>
      </w:r>
      <w:r w:rsidR="005143CB">
        <w:t>in their court you submit to their jurisdiction and you lose.</w:t>
      </w:r>
    </w:p>
    <w:p w:rsidR="00ED24B8" w:rsidRDefault="00ED24B8" w:rsidP="00ED24B8">
      <w:pPr>
        <w:autoSpaceDE w:val="0"/>
        <w:autoSpaceDN w:val="0"/>
        <w:adjustRightInd w:val="0"/>
        <w:spacing w:after="0" w:line="240" w:lineRule="auto"/>
        <w:jc w:val="both"/>
      </w:pPr>
    </w:p>
    <w:p w:rsidR="00D9514B" w:rsidRDefault="00232275" w:rsidP="000B3DE0">
      <w:pPr>
        <w:jc w:val="both"/>
      </w:pPr>
      <w:r w:rsidRPr="00232275">
        <w:rPr>
          <w:b/>
        </w:rPr>
        <w:t xml:space="preserve">SOLUTION: </w:t>
      </w:r>
      <w:r w:rsidR="00B50890">
        <w:t>The court houses</w:t>
      </w:r>
      <w:r w:rsidR="00751B18">
        <w:t>,</w:t>
      </w:r>
      <w:r w:rsidR="00B50890">
        <w:t xml:space="preserve"> that these black robe tyrants use to perform their dark deeds as they open equity courts under the rules of chancery</w:t>
      </w:r>
      <w:r w:rsidR="00751B18">
        <w:t>,</w:t>
      </w:r>
      <w:r w:rsidR="00B50890">
        <w:t xml:space="preserve"> were constructed by the authority of the People as Article III courts</w:t>
      </w:r>
      <w:r>
        <w:t xml:space="preserve"> </w:t>
      </w:r>
      <w:r w:rsidR="00ED24B8">
        <w:t xml:space="preserve">and </w:t>
      </w:r>
      <w:r>
        <w:t>still are and can be opened by the People</w:t>
      </w:r>
      <w:r w:rsidR="003D6CF7">
        <w:t xml:space="preserve"> </w:t>
      </w:r>
      <w:r w:rsidR="00751B18">
        <w:t>thru</w:t>
      </w:r>
      <w:r w:rsidR="003D6CF7">
        <w:t xml:space="preserve"> Affidavit, Presentment, Indictment or Writ</w:t>
      </w:r>
      <w:r w:rsidR="00B50890">
        <w:t>. Conspirators in all three branches covertly established a de-facto government</w:t>
      </w:r>
      <w:r w:rsidR="006D5A59">
        <w:t xml:space="preserve">. </w:t>
      </w:r>
      <w:r w:rsidR="005143CB">
        <w:t>The</w:t>
      </w:r>
      <w:r w:rsidR="00B50890">
        <w:t xml:space="preserve"> only way</w:t>
      </w:r>
      <w:r w:rsidR="006D5A59">
        <w:t xml:space="preserve"> that the People can reinstate the de-jure government </w:t>
      </w:r>
      <w:r>
        <w:t>is to</w:t>
      </w:r>
      <w:r w:rsidR="00B15C2C">
        <w:t xml:space="preserve"> educate and</w:t>
      </w:r>
      <w:r w:rsidR="006D5A59">
        <w:t xml:space="preserve"> unify the United States Common Law Grand Juries</w:t>
      </w:r>
      <w:r>
        <w:t>,</w:t>
      </w:r>
      <w:r w:rsidR="006D5A59">
        <w:t xml:space="preserve"> </w:t>
      </w:r>
      <w:r w:rsidR="00D9514B">
        <w:t xml:space="preserve">open courts of record </w:t>
      </w:r>
      <w:r w:rsidR="006D5A59">
        <w:t xml:space="preserve">in all </w:t>
      </w:r>
      <w:r w:rsidR="006D5A59">
        <w:lastRenderedPageBreak/>
        <w:t>ninety-four judicial district courts</w:t>
      </w:r>
      <w:r>
        <w:t>,</w:t>
      </w:r>
      <w:r w:rsidR="006D5A59">
        <w:t xml:space="preserve"> </w:t>
      </w:r>
      <w:r w:rsidR="00D9514B">
        <w:t xml:space="preserve">expose the </w:t>
      </w:r>
      <w:r w:rsidR="00751B18">
        <w:t>lawlessness by way of Writs</w:t>
      </w:r>
      <w:r w:rsidR="00D9514B">
        <w:t xml:space="preserve"> </w:t>
      </w:r>
      <w:r w:rsidR="006D5A59">
        <w:t>as we educate the oath-takers and when we have enough People behind the movement</w:t>
      </w:r>
      <w:r w:rsidR="00ED24B8">
        <w:t>;</w:t>
      </w:r>
      <w:r w:rsidR="006D5A59">
        <w:t xml:space="preserve"> the tyrants that refuse to let the People go will </w:t>
      </w:r>
      <w:r w:rsidR="00D9514B">
        <w:t>collapse under the stress of exposure.</w:t>
      </w:r>
      <w:r w:rsidR="006D5A59">
        <w:t xml:space="preserve"> </w:t>
      </w:r>
      <w:r w:rsidR="00D9514B">
        <w:t>W</w:t>
      </w:r>
      <w:r w:rsidR="006D5A59">
        <w:t xml:space="preserve">e are </w:t>
      </w:r>
      <w:r>
        <w:t>conceivably</w:t>
      </w:r>
      <w:r w:rsidR="006D5A59">
        <w:t xml:space="preserve"> months from that event</w:t>
      </w:r>
      <w:r w:rsidR="00D9514B">
        <w:t xml:space="preserve"> maybe less</w:t>
      </w:r>
      <w:r>
        <w:t>,</w:t>
      </w:r>
      <w:r w:rsidR="00D9514B">
        <w:t xml:space="preserve"> everything is in place as we continue filing un</w:t>
      </w:r>
      <w:r>
        <w:t>-rebutted</w:t>
      </w:r>
      <w:r w:rsidR="00D9514B">
        <w:t xml:space="preserve"> </w:t>
      </w:r>
      <w:r w:rsidR="00B15C2C">
        <w:t>Writs</w:t>
      </w:r>
      <w:r w:rsidR="00D9514B">
        <w:t xml:space="preserve"> </w:t>
      </w:r>
      <w:r>
        <w:t>and</w:t>
      </w:r>
      <w:r w:rsidR="00D9514B">
        <w:t xml:space="preserve"> the People continue </w:t>
      </w:r>
      <w:r w:rsidR="00B15C2C">
        <w:t>assembling</w:t>
      </w:r>
      <w:r w:rsidR="00D9514B">
        <w:t xml:space="preserve"> and when we </w:t>
      </w:r>
      <w:r>
        <w:t>amass</w:t>
      </w:r>
      <w:r w:rsidR="00D9514B">
        <w:t xml:space="preserve"> enough People </w:t>
      </w:r>
      <w:r w:rsidR="008874AB">
        <w:t>armed with justice</w:t>
      </w:r>
      <w:r w:rsidR="000505BF">
        <w:t xml:space="preserve"> (</w:t>
      </w:r>
      <w:r w:rsidR="000505BF">
        <w:rPr>
          <w:i/>
        </w:rPr>
        <w:t>herein our</w:t>
      </w:r>
      <w:r w:rsidR="000505BF" w:rsidRPr="00ED24B8">
        <w:rPr>
          <w:i/>
        </w:rPr>
        <w:t xml:space="preserve"> </w:t>
      </w:r>
      <w:r w:rsidR="000505BF">
        <w:rPr>
          <w:i/>
        </w:rPr>
        <w:t xml:space="preserve">one </w:t>
      </w:r>
      <w:r w:rsidR="000505BF" w:rsidRPr="00ED24B8">
        <w:rPr>
          <w:i/>
        </w:rPr>
        <w:t>million signature campaign</w:t>
      </w:r>
      <w:r w:rsidR="000505BF">
        <w:t>)</w:t>
      </w:r>
      <w:r w:rsidR="008874AB">
        <w:t xml:space="preserve"> </w:t>
      </w:r>
      <w:r w:rsidR="00D9514B">
        <w:t xml:space="preserve">the </w:t>
      </w:r>
      <w:r>
        <w:t xml:space="preserve">necessary </w:t>
      </w:r>
      <w:r w:rsidR="00D9514B">
        <w:t>landslide will</w:t>
      </w:r>
      <w:r w:rsidR="006500A8">
        <w:t>, by the Grace of God</w:t>
      </w:r>
      <w:r w:rsidR="00D9514B">
        <w:t xml:space="preserve"> prevail</w:t>
      </w:r>
      <w:r w:rsidR="00B15C2C">
        <w:t xml:space="preserve"> and the</w:t>
      </w:r>
      <w:r w:rsidR="008874AB">
        <w:t>ir</w:t>
      </w:r>
      <w:r w:rsidR="00B15C2C">
        <w:t xml:space="preserve"> visions of dark cites </w:t>
      </w:r>
      <w:r w:rsidR="00751B18">
        <w:t xml:space="preserve">throughout America </w:t>
      </w:r>
      <w:r w:rsidR="00B15C2C">
        <w:t xml:space="preserve">will </w:t>
      </w:r>
      <w:r w:rsidR="008874AB">
        <w:t xml:space="preserve">give way </w:t>
      </w:r>
      <w:r w:rsidR="00B15C2C">
        <w:t>to light</w:t>
      </w:r>
      <w:r w:rsidR="00D9514B">
        <w:t>.</w:t>
      </w:r>
    </w:p>
    <w:p w:rsidR="00BF23B5" w:rsidRDefault="005E4CCF" w:rsidP="003D6CF7">
      <w:pPr>
        <w:jc w:val="both"/>
      </w:pPr>
      <w:r w:rsidRPr="005E4CCF">
        <w:rPr>
          <w:b/>
        </w:rPr>
        <w:t>CONCLUSION:</w:t>
      </w:r>
      <w:r>
        <w:t xml:space="preserve"> </w:t>
      </w:r>
      <w:r w:rsidR="003D6CF7">
        <w:t>Judges in courts’ of equity have a legal duty</w:t>
      </w:r>
      <w:r w:rsidR="003D6CF7">
        <w:rPr>
          <w:rStyle w:val="FootnoteReference"/>
        </w:rPr>
        <w:footnoteReference w:id="1"/>
      </w:r>
      <w:r w:rsidR="003D6CF7">
        <w:t xml:space="preserve"> to satisfy the confidence of the People and when said court in conjunction with other officers of the court take advantage of the People by omitting and concealing</w:t>
      </w:r>
      <w:r>
        <w:t>,</w:t>
      </w:r>
      <w:r w:rsidR="003D6CF7">
        <w:t xml:space="preserve"> it becomes fraud</w:t>
      </w:r>
      <w:r w:rsidR="003D6CF7">
        <w:rPr>
          <w:rStyle w:val="FootnoteReference"/>
        </w:rPr>
        <w:footnoteReference w:id="2"/>
      </w:r>
      <w:r w:rsidR="003D6CF7">
        <w:t xml:space="preserve"> on the court under color of law</w:t>
      </w:r>
      <w:r w:rsidR="00E35ACB">
        <w:rPr>
          <w:rStyle w:val="FootnoteReference"/>
        </w:rPr>
        <w:footnoteReference w:id="3"/>
      </w:r>
      <w:r w:rsidR="003D6CF7">
        <w:t>. "</w:t>
      </w:r>
      <w:r w:rsidR="003D6CF7" w:rsidRPr="00E36F18">
        <w:rPr>
          <w:i/>
        </w:rPr>
        <w:t>Bad faith and fraud are synonymous, and also synonyms of dishonesty, infidelity, faithlessness, perfidy</w:t>
      </w:r>
      <w:r w:rsidR="003D6CF7">
        <w:rPr>
          <w:i/>
        </w:rPr>
        <w:t xml:space="preserve"> </w:t>
      </w:r>
      <w:r w:rsidR="003D6CF7" w:rsidRPr="00032FF1">
        <w:t>[deceit]</w:t>
      </w:r>
      <w:r w:rsidR="003D6CF7" w:rsidRPr="00E36F18">
        <w:rPr>
          <w:i/>
        </w:rPr>
        <w:t xml:space="preserve">, unfairness, </w:t>
      </w:r>
      <w:proofErr w:type="spellStart"/>
      <w:r w:rsidR="003D6CF7" w:rsidRPr="00E36F18">
        <w:rPr>
          <w:i/>
        </w:rPr>
        <w:t>etc</w:t>
      </w:r>
      <w:proofErr w:type="spellEnd"/>
      <w:r w:rsidR="003D6CF7">
        <w:rPr>
          <w:rStyle w:val="FootnoteReference"/>
          <w:i/>
        </w:rPr>
        <w:footnoteReference w:id="4"/>
      </w:r>
      <w:r w:rsidR="003D6CF7">
        <w:t>.” … “</w:t>
      </w:r>
      <w:r w:rsidR="003D6CF7" w:rsidRPr="00136E77">
        <w:rPr>
          <w:i/>
        </w:rPr>
        <w:t>Constructive fraud consists in any act of commission or omission contrary to legal or equitable duty, trust, or confidence justly reposed (confided in), which is contrary to good conscience and operates to the injury of another</w:t>
      </w:r>
      <w:r w:rsidR="003D6CF7">
        <w:rPr>
          <w:rStyle w:val="FootnoteReference"/>
          <w:i/>
        </w:rPr>
        <w:footnoteReference w:id="5"/>
      </w:r>
      <w:r w:rsidR="003D6CF7">
        <w:t xml:space="preserve">.” Such is the ill nature of our equity courts </w:t>
      </w:r>
      <w:r w:rsidR="00CD76B2">
        <w:t xml:space="preserve">that have been seized by tyrants; </w:t>
      </w:r>
      <w:r w:rsidR="003D6CF7">
        <w:t>“</w:t>
      </w:r>
      <w:r w:rsidR="003D6CF7">
        <w:rPr>
          <w:i/>
        </w:rPr>
        <w:t>a</w:t>
      </w:r>
      <w:r w:rsidR="003D6CF7" w:rsidRPr="00136E77">
        <w:rPr>
          <w:i/>
        </w:rPr>
        <w:t xml:space="preserve"> false statement as to material fact, made with intent that another rely thereon, which is believed by </w:t>
      </w:r>
      <w:r>
        <w:rPr>
          <w:i/>
        </w:rPr>
        <w:t xml:space="preserve">the </w:t>
      </w:r>
      <w:r w:rsidR="003D6CF7" w:rsidRPr="00136E77">
        <w:rPr>
          <w:i/>
        </w:rPr>
        <w:t>other party and on which he relies and by which he is induced to act and does act to his injury, and statement</w:t>
      </w:r>
      <w:r>
        <w:rPr>
          <w:i/>
        </w:rPr>
        <w:t>s</w:t>
      </w:r>
      <w:r w:rsidR="003D6CF7" w:rsidRPr="00136E77">
        <w:rPr>
          <w:i/>
        </w:rPr>
        <w:t xml:space="preserve"> </w:t>
      </w:r>
      <w:r>
        <w:rPr>
          <w:i/>
        </w:rPr>
        <w:t>are</w:t>
      </w:r>
      <w:r w:rsidR="003D6CF7" w:rsidRPr="00136E77">
        <w:rPr>
          <w:i/>
        </w:rPr>
        <w:t xml:space="preserve"> fraudulent if </w:t>
      </w:r>
      <w:r>
        <w:rPr>
          <w:i/>
        </w:rPr>
        <w:t xml:space="preserve">the </w:t>
      </w:r>
      <w:r w:rsidR="003D6CF7" w:rsidRPr="00136E77">
        <w:rPr>
          <w:i/>
        </w:rPr>
        <w:t xml:space="preserve">speaker knows </w:t>
      </w:r>
      <w:r>
        <w:rPr>
          <w:i/>
        </w:rPr>
        <w:t xml:space="preserve">the </w:t>
      </w:r>
      <w:r w:rsidR="003D6CF7" w:rsidRPr="00136E77">
        <w:rPr>
          <w:i/>
        </w:rPr>
        <w:t>statement to be false or if it is made with utter disregard of its truth or falsity</w:t>
      </w:r>
      <w:r w:rsidR="003D6CF7">
        <w:rPr>
          <w:rStyle w:val="FootnoteReference"/>
        </w:rPr>
        <w:footnoteReference w:id="6"/>
      </w:r>
      <w:r w:rsidR="003D6CF7">
        <w:t>.”</w:t>
      </w:r>
    </w:p>
    <w:p w:rsidR="003D6CF7" w:rsidRDefault="005E4CCF" w:rsidP="003D6CF7">
      <w:pPr>
        <w:jc w:val="both"/>
      </w:pPr>
      <w:r>
        <w:t xml:space="preserve">Therefore </w:t>
      </w:r>
      <w:r w:rsidR="00CD76B2">
        <w:t>an oath to protect and uphold</w:t>
      </w:r>
      <w:r w:rsidR="003D6CF7">
        <w:t xml:space="preserve">; such as </w:t>
      </w:r>
      <w:r w:rsidR="003D6CF7" w:rsidRPr="00CC162D">
        <w:rPr>
          <w:b/>
          <w:u w:val="single"/>
        </w:rPr>
        <w:t>Article IV Section 4</w:t>
      </w:r>
      <w:r w:rsidR="003D6CF7" w:rsidRPr="00CC162D">
        <w:t xml:space="preserve"> </w:t>
      </w:r>
      <w:r w:rsidR="003D6CF7">
        <w:t xml:space="preserve">whereas </w:t>
      </w:r>
      <w:r w:rsidR="00DD4502">
        <w:t>“</w:t>
      </w:r>
      <w:r w:rsidR="003D6CF7" w:rsidRPr="00DD4502">
        <w:rPr>
          <w:i/>
        </w:rPr>
        <w:t>the United States shall guarantee to every state in this union a republican form of government, and shall protect each of them against invasion</w:t>
      </w:r>
      <w:r w:rsidR="003D6CF7" w:rsidRPr="00CC162D">
        <w:t>;</w:t>
      </w:r>
      <w:r w:rsidR="00DD4502">
        <w:t>”</w:t>
      </w:r>
      <w:r w:rsidR="003D6CF7">
        <w:t xml:space="preserve"> “</w:t>
      </w:r>
      <w:r w:rsidR="003D6CF7" w:rsidRPr="006F45E5">
        <w:rPr>
          <w:b/>
          <w:i/>
          <w:u w:val="single"/>
        </w:rPr>
        <w:t>without</w:t>
      </w:r>
      <w:r w:rsidRPr="006F45E5">
        <w:rPr>
          <w:b/>
          <w:i/>
          <w:u w:val="single"/>
        </w:rPr>
        <w:t xml:space="preserve"> the</w:t>
      </w:r>
      <w:r w:rsidR="003D6CF7" w:rsidRPr="006F45E5">
        <w:rPr>
          <w:b/>
          <w:i/>
          <w:u w:val="single"/>
        </w:rPr>
        <w:t xml:space="preserve"> intent to perform constitutes "fraudulent representation," which generally affords ground for rescission</w:t>
      </w:r>
      <w:r w:rsidR="003D6CF7">
        <w:t>”</w:t>
      </w:r>
      <w:r w:rsidR="003D6CF7">
        <w:rPr>
          <w:rStyle w:val="FootnoteReference"/>
        </w:rPr>
        <w:footnoteReference w:id="7"/>
      </w:r>
      <w:r w:rsidR="003D6CF7">
        <w:t xml:space="preserve">. And all the officers in these courts of equity, by their actions, have no intentions </w:t>
      </w:r>
      <w:r>
        <w:t>o</w:t>
      </w:r>
      <w:r w:rsidR="003D6CF7">
        <w:t>n honoring their oaths as</w:t>
      </w:r>
      <w:r>
        <w:t xml:space="preserve"> they unlawfully cling to their misplaced power a</w:t>
      </w:r>
      <w:r w:rsidR="00336E2B">
        <w:t>nd the</w:t>
      </w:r>
      <w:r w:rsidR="003D6CF7">
        <w:t xml:space="preserve"> </w:t>
      </w:r>
      <w:r w:rsidR="00CD76B2">
        <w:t>Judgment</w:t>
      </w:r>
      <w:r w:rsidR="003D6CF7">
        <w:t xml:space="preserve"> </w:t>
      </w:r>
      <w:r w:rsidR="00CD76B2">
        <w:t xml:space="preserve">of their </w:t>
      </w:r>
      <w:r w:rsidR="00336E2B">
        <w:t xml:space="preserve">traitorous </w:t>
      </w:r>
      <w:r w:rsidR="00CD76B2">
        <w:t xml:space="preserve">actions </w:t>
      </w:r>
      <w:r w:rsidR="003D6CF7">
        <w:t>draws nigh.</w:t>
      </w:r>
    </w:p>
    <w:p w:rsidR="003C3F50" w:rsidRPr="00426E2A" w:rsidRDefault="00426E2A" w:rsidP="00426E2A">
      <w:pPr>
        <w:jc w:val="center"/>
        <w:rPr>
          <w:b/>
        </w:rPr>
      </w:pPr>
      <w:r w:rsidRPr="00426E2A">
        <w:rPr>
          <w:b/>
        </w:rPr>
        <w:t xml:space="preserve">RESCISSION IS THE PROPER </w:t>
      </w:r>
      <w:r w:rsidR="00BB6EE9" w:rsidRPr="00426E2A">
        <w:rPr>
          <w:b/>
        </w:rPr>
        <w:t>RESOLVE</w:t>
      </w:r>
      <w:r w:rsidR="00BB6EE9">
        <w:rPr>
          <w:b/>
        </w:rPr>
        <w:t xml:space="preserve"> BY QUO WARRANTO</w:t>
      </w:r>
      <w:r w:rsidR="00BB6EE9">
        <w:rPr>
          <w:b/>
        </w:rPr>
        <w:br/>
      </w:r>
      <w:r w:rsidRPr="00426E2A">
        <w:rPr>
          <w:b/>
        </w:rPr>
        <w:t>FOR FRAUD</w:t>
      </w:r>
      <w:r w:rsidR="00BB6EE9">
        <w:rPr>
          <w:b/>
        </w:rPr>
        <w:t>,</w:t>
      </w:r>
      <w:r w:rsidRPr="00426E2A">
        <w:rPr>
          <w:b/>
        </w:rPr>
        <w:t xml:space="preserve"> DECEIT</w:t>
      </w:r>
      <w:r w:rsidR="00BB6EE9">
        <w:rPr>
          <w:b/>
        </w:rPr>
        <w:t xml:space="preserve"> </w:t>
      </w:r>
      <w:r w:rsidRPr="00426E2A">
        <w:rPr>
          <w:b/>
        </w:rPr>
        <w:t>AND SILENCE</w:t>
      </w:r>
      <w:r>
        <w:rPr>
          <w:b/>
        </w:rPr>
        <w:t xml:space="preserve"> WHEN THERE WAS A DUTY TO SPEAK</w:t>
      </w:r>
    </w:p>
    <w:p w:rsidR="006D72A2" w:rsidRDefault="005509D2" w:rsidP="00513FD3">
      <w:pPr>
        <w:jc w:val="both"/>
      </w:pPr>
      <w:r>
        <w:t>“</w:t>
      </w:r>
      <w:r w:rsidR="006D72A2" w:rsidRPr="005509D2">
        <w:rPr>
          <w:i/>
        </w:rPr>
        <w:t>Rescission</w:t>
      </w:r>
      <w:r w:rsidR="00360EF7" w:rsidRPr="005509D2">
        <w:rPr>
          <w:rStyle w:val="FootnoteReference"/>
          <w:i/>
        </w:rPr>
        <w:footnoteReference w:id="8"/>
      </w:r>
      <w:r w:rsidR="006D72A2" w:rsidRPr="005509D2">
        <w:rPr>
          <w:i/>
        </w:rPr>
        <w:t xml:space="preserve"> is where an act, valid in appearance, nevertheless conceals a defect, which may make it null, if demanded by any of the parties; as, for example, fraud and deceit. Nullity relates generally to public order, and cannot therefore be made good either by ratification or prescription; so that the tribunals </w:t>
      </w:r>
      <w:r w:rsidR="006D72A2" w:rsidRPr="00DD4502">
        <w:t>(People through Juries)</w:t>
      </w:r>
      <w:r w:rsidR="006D72A2" w:rsidRPr="005509D2">
        <w:rPr>
          <w:i/>
        </w:rPr>
        <w:t xml:space="preserve"> ought, for this reason alone, to decide that the null act can have no effect, without stopping to inquire whether the parties to it have or have not received any injury. Rescission, on the contrary, may be made good by the silence of the parties</w:t>
      </w:r>
      <w:r w:rsidR="006D72A2" w:rsidRPr="006D72A2">
        <w:t>;</w:t>
      </w:r>
      <w:r>
        <w:t>”</w:t>
      </w:r>
      <w:r w:rsidR="006D72A2" w:rsidRPr="006D72A2">
        <w:t xml:space="preserve"> </w:t>
      </w:r>
      <w:r w:rsidR="00426E2A">
        <w:t xml:space="preserve">- </w:t>
      </w:r>
      <w:proofErr w:type="spellStart"/>
      <w:r w:rsidR="006D72A2" w:rsidRPr="006D72A2">
        <w:t>Sunol</w:t>
      </w:r>
      <w:proofErr w:type="spellEnd"/>
      <w:r w:rsidR="006D72A2" w:rsidRPr="006D72A2">
        <w:t xml:space="preserve"> v. Hepburn, 1 Cal. 281, citing </w:t>
      </w:r>
      <w:proofErr w:type="spellStart"/>
      <w:r w:rsidR="006D72A2" w:rsidRPr="006D72A2">
        <w:t>Escriche</w:t>
      </w:r>
      <w:proofErr w:type="spellEnd"/>
      <w:r w:rsidR="006D72A2" w:rsidRPr="006D72A2">
        <w:t>.</w:t>
      </w:r>
    </w:p>
    <w:sectPr w:rsidR="006D72A2" w:rsidSect="005509D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A1" w:rsidRDefault="000661A1" w:rsidP="00D320AC">
      <w:pPr>
        <w:spacing w:after="0" w:line="240" w:lineRule="auto"/>
      </w:pPr>
      <w:r>
        <w:separator/>
      </w:r>
    </w:p>
  </w:endnote>
  <w:endnote w:type="continuationSeparator" w:id="0">
    <w:p w:rsidR="000661A1" w:rsidRDefault="000661A1" w:rsidP="00D3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A1" w:rsidRDefault="000661A1" w:rsidP="00D320AC">
      <w:pPr>
        <w:spacing w:after="0" w:line="240" w:lineRule="auto"/>
      </w:pPr>
      <w:r>
        <w:separator/>
      </w:r>
    </w:p>
  </w:footnote>
  <w:footnote w:type="continuationSeparator" w:id="0">
    <w:p w:rsidR="000661A1" w:rsidRDefault="000661A1" w:rsidP="00D320AC">
      <w:pPr>
        <w:spacing w:after="0" w:line="240" w:lineRule="auto"/>
      </w:pPr>
      <w:r>
        <w:continuationSeparator/>
      </w:r>
    </w:p>
  </w:footnote>
  <w:footnote w:id="1">
    <w:p w:rsidR="003D6CF7" w:rsidRPr="00360EF7" w:rsidRDefault="003D6CF7" w:rsidP="003D6CF7">
      <w:pPr>
        <w:pStyle w:val="FootnoteText"/>
        <w:jc w:val="both"/>
        <w:rPr>
          <w:sz w:val="18"/>
          <w:szCs w:val="18"/>
        </w:rPr>
      </w:pPr>
      <w:r w:rsidRPr="00360EF7">
        <w:rPr>
          <w:rStyle w:val="FootnoteReference"/>
          <w:sz w:val="18"/>
          <w:szCs w:val="18"/>
        </w:rPr>
        <w:footnoteRef/>
      </w:r>
      <w:r w:rsidRPr="00360EF7">
        <w:rPr>
          <w:sz w:val="18"/>
          <w:szCs w:val="18"/>
        </w:rPr>
        <w:t xml:space="preserve"> Article VI.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footnote>
  <w:footnote w:id="2">
    <w:p w:rsidR="003D6CF7" w:rsidRPr="00360EF7" w:rsidRDefault="003D6CF7" w:rsidP="003D6CF7">
      <w:pPr>
        <w:spacing w:after="0"/>
        <w:jc w:val="both"/>
        <w:rPr>
          <w:sz w:val="18"/>
          <w:szCs w:val="18"/>
        </w:rPr>
      </w:pPr>
      <w:r w:rsidRPr="00360EF7">
        <w:rPr>
          <w:rStyle w:val="FootnoteReference"/>
          <w:sz w:val="18"/>
          <w:szCs w:val="18"/>
        </w:rPr>
        <w:footnoteRef/>
      </w:r>
      <w:r w:rsidRPr="00360EF7">
        <w:rPr>
          <w:sz w:val="18"/>
          <w:szCs w:val="18"/>
        </w:rPr>
        <w:t xml:space="preserve"> Fraud, in the sense of a court of equity, properly includes all acts, omissions, and concealments which involve a breach of legal or equitable duty, trust, or confidence justly reposed confided in), and are injurious to another, or by which an undue and </w:t>
      </w:r>
      <w:proofErr w:type="spellStart"/>
      <w:r w:rsidRPr="00360EF7">
        <w:rPr>
          <w:sz w:val="18"/>
          <w:szCs w:val="18"/>
        </w:rPr>
        <w:t>unconscientious</w:t>
      </w:r>
      <w:proofErr w:type="spellEnd"/>
      <w:r w:rsidRPr="00360EF7">
        <w:rPr>
          <w:sz w:val="18"/>
          <w:szCs w:val="18"/>
        </w:rPr>
        <w:t xml:space="preserve"> advantage is taken of another. 1 Story, </w:t>
      </w:r>
      <w:proofErr w:type="spellStart"/>
      <w:r w:rsidRPr="00360EF7">
        <w:rPr>
          <w:sz w:val="18"/>
          <w:szCs w:val="18"/>
        </w:rPr>
        <w:t>Eq.Jur</w:t>
      </w:r>
      <w:proofErr w:type="spellEnd"/>
      <w:r w:rsidRPr="00360EF7">
        <w:rPr>
          <w:sz w:val="18"/>
          <w:szCs w:val="18"/>
        </w:rPr>
        <w:t xml:space="preserve">. § 187; Howard v. West Jersey &amp; S. S. R. Co., </w:t>
      </w:r>
      <w:proofErr w:type="gramStart"/>
      <w:r w:rsidRPr="00360EF7">
        <w:rPr>
          <w:sz w:val="18"/>
          <w:szCs w:val="18"/>
        </w:rPr>
        <w:t xml:space="preserve">102 </w:t>
      </w:r>
      <w:proofErr w:type="spellStart"/>
      <w:r w:rsidRPr="00360EF7">
        <w:rPr>
          <w:sz w:val="18"/>
          <w:szCs w:val="18"/>
        </w:rPr>
        <w:t>N.J.Eq</w:t>
      </w:r>
      <w:proofErr w:type="spellEnd"/>
      <w:proofErr w:type="gramEnd"/>
      <w:r w:rsidRPr="00360EF7">
        <w:rPr>
          <w:sz w:val="18"/>
          <w:szCs w:val="18"/>
        </w:rPr>
        <w:t xml:space="preserve">. </w:t>
      </w:r>
      <w:proofErr w:type="gramStart"/>
      <w:r w:rsidRPr="00360EF7">
        <w:rPr>
          <w:sz w:val="18"/>
          <w:szCs w:val="18"/>
        </w:rPr>
        <w:t>517, 141 A. 755, 757.</w:t>
      </w:r>
      <w:proofErr w:type="gramEnd"/>
    </w:p>
  </w:footnote>
  <w:footnote w:id="3">
    <w:p w:rsidR="00E35ACB" w:rsidRPr="00E35ACB" w:rsidRDefault="00E35ACB" w:rsidP="00E35ACB">
      <w:pPr>
        <w:pStyle w:val="FootnoteText"/>
        <w:jc w:val="both"/>
        <w:rPr>
          <w:sz w:val="18"/>
          <w:szCs w:val="18"/>
        </w:rPr>
      </w:pPr>
      <w:r w:rsidRPr="00E35ACB">
        <w:rPr>
          <w:rStyle w:val="FootnoteReference"/>
          <w:sz w:val="18"/>
          <w:szCs w:val="18"/>
        </w:rPr>
        <w:footnoteRef/>
      </w:r>
      <w:r w:rsidRPr="00E35ACB">
        <w:rPr>
          <w:sz w:val="18"/>
          <w:szCs w:val="18"/>
        </w:rPr>
        <w:t xml:space="preserve"> </w:t>
      </w:r>
      <w:proofErr w:type="gramStart"/>
      <w:r w:rsidRPr="00E35ACB">
        <w:rPr>
          <w:sz w:val="18"/>
          <w:szCs w:val="18"/>
        </w:rPr>
        <w:t>COLOR OF LAW.</w:t>
      </w:r>
      <w:proofErr w:type="gramEnd"/>
      <w:r w:rsidRPr="00E35ACB">
        <w:rPr>
          <w:sz w:val="18"/>
          <w:szCs w:val="18"/>
        </w:rPr>
        <w:t xml:space="preserve"> [Black's Law 4th edition, 1891] -- The appearance or semblance, without the substance, of legal right. [State v. </w:t>
      </w:r>
      <w:proofErr w:type="spellStart"/>
      <w:r w:rsidRPr="00E35ACB">
        <w:rPr>
          <w:sz w:val="18"/>
          <w:szCs w:val="18"/>
        </w:rPr>
        <w:t>Brechler</w:t>
      </w:r>
      <w:proofErr w:type="spellEnd"/>
      <w:r w:rsidRPr="00E35ACB">
        <w:rPr>
          <w:sz w:val="18"/>
          <w:szCs w:val="18"/>
        </w:rPr>
        <w:t>, 185 Wis. 599, 202 N.W. 144, 148] Misuse of power, possessed by virtue of state law and made possible only because wrongdoer is clothed with authority of state, is action taken under "color of state law." (Atkins v. Lanning, 415 F. Supp. 186, 188)</w:t>
      </w:r>
    </w:p>
  </w:footnote>
  <w:footnote w:id="4">
    <w:p w:rsidR="003D6CF7" w:rsidRPr="00360EF7" w:rsidRDefault="003D6CF7" w:rsidP="003D6CF7">
      <w:pPr>
        <w:pStyle w:val="FootnoteText"/>
        <w:jc w:val="both"/>
        <w:rPr>
          <w:sz w:val="18"/>
          <w:szCs w:val="18"/>
        </w:rPr>
      </w:pPr>
      <w:r w:rsidRPr="00360EF7">
        <w:rPr>
          <w:rStyle w:val="FootnoteReference"/>
          <w:sz w:val="18"/>
          <w:szCs w:val="18"/>
        </w:rPr>
        <w:footnoteRef/>
      </w:r>
      <w:r w:rsidRPr="00360EF7">
        <w:rPr>
          <w:sz w:val="18"/>
          <w:szCs w:val="18"/>
        </w:rPr>
        <w:t xml:space="preserve"> Joiner v. Joiner, </w:t>
      </w:r>
      <w:proofErr w:type="spellStart"/>
      <w:proofErr w:type="gramStart"/>
      <w:r w:rsidRPr="00360EF7">
        <w:rPr>
          <w:sz w:val="18"/>
          <w:szCs w:val="18"/>
        </w:rPr>
        <w:t>Tex.Civ.App</w:t>
      </w:r>
      <w:proofErr w:type="spellEnd"/>
      <w:r w:rsidRPr="00360EF7">
        <w:rPr>
          <w:sz w:val="18"/>
          <w:szCs w:val="18"/>
        </w:rPr>
        <w:t>.,</w:t>
      </w:r>
      <w:proofErr w:type="gramEnd"/>
      <w:r w:rsidRPr="00360EF7">
        <w:rPr>
          <w:sz w:val="18"/>
          <w:szCs w:val="18"/>
        </w:rPr>
        <w:t xml:space="preserve"> 87 S.W. 2d 903, 914, 915.</w:t>
      </w:r>
    </w:p>
  </w:footnote>
  <w:footnote w:id="5">
    <w:p w:rsidR="003D6CF7" w:rsidRPr="00360EF7" w:rsidRDefault="003D6CF7" w:rsidP="003D6CF7">
      <w:pPr>
        <w:pStyle w:val="FootnoteText"/>
        <w:jc w:val="both"/>
        <w:rPr>
          <w:sz w:val="18"/>
          <w:szCs w:val="18"/>
        </w:rPr>
      </w:pPr>
      <w:r w:rsidRPr="00360EF7">
        <w:rPr>
          <w:rStyle w:val="FootnoteReference"/>
          <w:sz w:val="18"/>
          <w:szCs w:val="18"/>
        </w:rPr>
        <w:footnoteRef/>
      </w:r>
      <w:r w:rsidRPr="00360EF7">
        <w:rPr>
          <w:sz w:val="18"/>
          <w:szCs w:val="18"/>
        </w:rPr>
        <w:t xml:space="preserve"> 1 Story, </w:t>
      </w:r>
      <w:proofErr w:type="spellStart"/>
      <w:r w:rsidRPr="00360EF7">
        <w:rPr>
          <w:sz w:val="18"/>
          <w:szCs w:val="18"/>
        </w:rPr>
        <w:t>Eq.Jur</w:t>
      </w:r>
      <w:proofErr w:type="spellEnd"/>
      <w:r w:rsidRPr="00360EF7">
        <w:rPr>
          <w:sz w:val="18"/>
          <w:szCs w:val="18"/>
        </w:rPr>
        <w:t>. §258. Code Ga.1882, §3173 (</w:t>
      </w:r>
      <w:proofErr w:type="spellStart"/>
      <w:r w:rsidRPr="00360EF7">
        <w:rPr>
          <w:sz w:val="18"/>
          <w:szCs w:val="18"/>
        </w:rPr>
        <w:t>Civ.Code</w:t>
      </w:r>
      <w:proofErr w:type="spellEnd"/>
      <w:r w:rsidRPr="00360EF7">
        <w:rPr>
          <w:sz w:val="18"/>
          <w:szCs w:val="18"/>
        </w:rPr>
        <w:t xml:space="preserve"> 1910, §4622) ; People v. Kelly, 35 Barb., N.Y., 457; Jackson v. Jackson, 47 Ga</w:t>
      </w:r>
      <w:bookmarkStart w:id="0" w:name="_GoBack"/>
      <w:bookmarkEnd w:id="0"/>
      <w:r w:rsidRPr="00360EF7">
        <w:rPr>
          <w:sz w:val="18"/>
          <w:szCs w:val="18"/>
        </w:rPr>
        <w:t>. 99;</w:t>
      </w:r>
    </w:p>
  </w:footnote>
  <w:footnote w:id="6">
    <w:p w:rsidR="003D6CF7" w:rsidRPr="00360EF7" w:rsidRDefault="003D6CF7" w:rsidP="003D6CF7">
      <w:pPr>
        <w:pStyle w:val="FootnoteText"/>
        <w:rPr>
          <w:sz w:val="18"/>
          <w:szCs w:val="18"/>
        </w:rPr>
      </w:pPr>
      <w:r w:rsidRPr="00360EF7">
        <w:rPr>
          <w:rStyle w:val="FootnoteReference"/>
          <w:sz w:val="18"/>
          <w:szCs w:val="18"/>
        </w:rPr>
        <w:footnoteRef/>
      </w:r>
      <w:r w:rsidRPr="00360EF7">
        <w:rPr>
          <w:sz w:val="18"/>
          <w:szCs w:val="18"/>
        </w:rPr>
        <w:t xml:space="preserve"> Osborne v. Simmons, </w:t>
      </w:r>
      <w:proofErr w:type="spellStart"/>
      <w:r w:rsidRPr="00360EF7">
        <w:rPr>
          <w:sz w:val="18"/>
          <w:szCs w:val="18"/>
        </w:rPr>
        <w:t>Mo.App</w:t>
      </w:r>
      <w:proofErr w:type="spellEnd"/>
      <w:r w:rsidRPr="00360EF7">
        <w:rPr>
          <w:sz w:val="18"/>
          <w:szCs w:val="18"/>
        </w:rPr>
        <w:t>., 23 S.W.2d 1102, 1104</w:t>
      </w:r>
    </w:p>
  </w:footnote>
  <w:footnote w:id="7">
    <w:p w:rsidR="003D6CF7" w:rsidRPr="00360EF7" w:rsidRDefault="003D6CF7" w:rsidP="003D6CF7">
      <w:pPr>
        <w:pStyle w:val="FootnoteText"/>
        <w:rPr>
          <w:sz w:val="18"/>
          <w:szCs w:val="18"/>
        </w:rPr>
      </w:pPr>
      <w:r w:rsidRPr="00360EF7">
        <w:rPr>
          <w:rStyle w:val="FootnoteReference"/>
          <w:sz w:val="18"/>
          <w:szCs w:val="18"/>
        </w:rPr>
        <w:footnoteRef/>
      </w:r>
      <w:r w:rsidRPr="00360EF7">
        <w:rPr>
          <w:sz w:val="18"/>
          <w:szCs w:val="18"/>
        </w:rPr>
        <w:t xml:space="preserve"> </w:t>
      </w:r>
      <w:proofErr w:type="gramStart"/>
      <w:r w:rsidRPr="00360EF7">
        <w:rPr>
          <w:sz w:val="18"/>
          <w:szCs w:val="18"/>
        </w:rPr>
        <w:t>Mitchell v. Mitchell, 206 N.C. 546, 174 S.E. 447, 448.</w:t>
      </w:r>
      <w:proofErr w:type="gramEnd"/>
    </w:p>
  </w:footnote>
  <w:footnote w:id="8">
    <w:p w:rsidR="00360EF7" w:rsidRPr="00360EF7" w:rsidRDefault="00360EF7" w:rsidP="00360EF7">
      <w:pPr>
        <w:pStyle w:val="FootnoteText"/>
        <w:jc w:val="both"/>
        <w:rPr>
          <w:sz w:val="18"/>
          <w:szCs w:val="18"/>
        </w:rPr>
      </w:pPr>
      <w:r w:rsidRPr="00360EF7">
        <w:rPr>
          <w:rStyle w:val="FootnoteReference"/>
          <w:sz w:val="18"/>
          <w:szCs w:val="18"/>
        </w:rPr>
        <w:footnoteRef/>
      </w:r>
      <w:r w:rsidRPr="00360EF7">
        <w:rPr>
          <w:sz w:val="18"/>
          <w:szCs w:val="18"/>
        </w:rPr>
        <w:t xml:space="preserve"> </w:t>
      </w:r>
      <w:proofErr w:type="gramStart"/>
      <w:r w:rsidRPr="00360EF7">
        <w:rPr>
          <w:sz w:val="18"/>
          <w:szCs w:val="18"/>
        </w:rPr>
        <w:t>RESCISSION OF CONTRACT.</w:t>
      </w:r>
      <w:proofErr w:type="gramEnd"/>
      <w:r w:rsidRPr="00360EF7">
        <w:rPr>
          <w:sz w:val="18"/>
          <w:szCs w:val="18"/>
        </w:rPr>
        <w:t xml:space="preserve"> </w:t>
      </w:r>
      <w:proofErr w:type="gramStart"/>
      <w:r w:rsidRPr="00360EF7">
        <w:rPr>
          <w:sz w:val="18"/>
          <w:szCs w:val="18"/>
        </w:rPr>
        <w:t>Annulling or abrogation or unmaking of contract and the placing of the parties to it in status quo.</w:t>
      </w:r>
      <w:proofErr w:type="gramEnd"/>
      <w:r w:rsidRPr="00360EF7">
        <w:rPr>
          <w:sz w:val="18"/>
          <w:szCs w:val="18"/>
        </w:rPr>
        <w:t xml:space="preserve"> </w:t>
      </w:r>
      <w:proofErr w:type="gramStart"/>
      <w:r w:rsidRPr="00360EF7">
        <w:rPr>
          <w:sz w:val="18"/>
          <w:szCs w:val="18"/>
        </w:rPr>
        <w:t xml:space="preserve">Sessions </w:t>
      </w:r>
      <w:proofErr w:type="spellStart"/>
      <w:r w:rsidRPr="00360EF7">
        <w:rPr>
          <w:sz w:val="18"/>
          <w:szCs w:val="18"/>
        </w:rPr>
        <w:t>v.Meadows</w:t>
      </w:r>
      <w:proofErr w:type="spellEnd"/>
      <w:r w:rsidRPr="00360EF7">
        <w:rPr>
          <w:sz w:val="18"/>
          <w:szCs w:val="18"/>
        </w:rPr>
        <w:t>, 13 Cal.App.2d 748, 57 P.2d 548, 549.</w:t>
      </w:r>
      <w:proofErr w:type="gramEnd"/>
      <w:r w:rsidRPr="00360EF7">
        <w:rPr>
          <w:sz w:val="18"/>
          <w:szCs w:val="18"/>
        </w:rPr>
        <w:t xml:space="preserve"> </w:t>
      </w:r>
      <w:proofErr w:type="spellStart"/>
      <w:proofErr w:type="gramStart"/>
      <w:r w:rsidRPr="00360EF7">
        <w:rPr>
          <w:sz w:val="18"/>
          <w:szCs w:val="18"/>
        </w:rPr>
        <w:t>Runde</w:t>
      </w:r>
      <w:proofErr w:type="spellEnd"/>
      <w:r w:rsidRPr="00360EF7">
        <w:rPr>
          <w:sz w:val="18"/>
          <w:szCs w:val="18"/>
        </w:rPr>
        <w:t xml:space="preserve"> v. O'Brian, 214 Iowa 921, 243 N.W. 594, 595.</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4B"/>
    <w:rsid w:val="00012A71"/>
    <w:rsid w:val="00032FF1"/>
    <w:rsid w:val="000505BF"/>
    <w:rsid w:val="000661A1"/>
    <w:rsid w:val="000B264B"/>
    <w:rsid w:val="000B3DE0"/>
    <w:rsid w:val="000F6946"/>
    <w:rsid w:val="00117624"/>
    <w:rsid w:val="00136E77"/>
    <w:rsid w:val="00184628"/>
    <w:rsid w:val="001D3C4C"/>
    <w:rsid w:val="00232275"/>
    <w:rsid w:val="00241382"/>
    <w:rsid w:val="002C0A5E"/>
    <w:rsid w:val="002C144F"/>
    <w:rsid w:val="002D0CD9"/>
    <w:rsid w:val="003225A5"/>
    <w:rsid w:val="00334163"/>
    <w:rsid w:val="00336E2B"/>
    <w:rsid w:val="00360EF7"/>
    <w:rsid w:val="003742C2"/>
    <w:rsid w:val="003747A0"/>
    <w:rsid w:val="003C3F50"/>
    <w:rsid w:val="003D6CF7"/>
    <w:rsid w:val="00426E2A"/>
    <w:rsid w:val="00464215"/>
    <w:rsid w:val="00465430"/>
    <w:rsid w:val="00492D69"/>
    <w:rsid w:val="004C1B95"/>
    <w:rsid w:val="00513FD3"/>
    <w:rsid w:val="005143CB"/>
    <w:rsid w:val="00533BC5"/>
    <w:rsid w:val="00540BE9"/>
    <w:rsid w:val="005509D2"/>
    <w:rsid w:val="005A501C"/>
    <w:rsid w:val="005E4CCF"/>
    <w:rsid w:val="00622BE0"/>
    <w:rsid w:val="0064368B"/>
    <w:rsid w:val="006500A8"/>
    <w:rsid w:val="006A4561"/>
    <w:rsid w:val="006C13B8"/>
    <w:rsid w:val="006D5A59"/>
    <w:rsid w:val="006D72A2"/>
    <w:rsid w:val="006F45E5"/>
    <w:rsid w:val="00714597"/>
    <w:rsid w:val="00751B18"/>
    <w:rsid w:val="007C75B4"/>
    <w:rsid w:val="007D577A"/>
    <w:rsid w:val="0080632F"/>
    <w:rsid w:val="0087154D"/>
    <w:rsid w:val="00875488"/>
    <w:rsid w:val="008874AB"/>
    <w:rsid w:val="008A6DB9"/>
    <w:rsid w:val="009F5962"/>
    <w:rsid w:val="00A634DC"/>
    <w:rsid w:val="00A73BFD"/>
    <w:rsid w:val="00AB6EAD"/>
    <w:rsid w:val="00AE198F"/>
    <w:rsid w:val="00B15C2C"/>
    <w:rsid w:val="00B45277"/>
    <w:rsid w:val="00B50890"/>
    <w:rsid w:val="00B618B2"/>
    <w:rsid w:val="00BB4098"/>
    <w:rsid w:val="00BB6B57"/>
    <w:rsid w:val="00BB6EE9"/>
    <w:rsid w:val="00BF23B5"/>
    <w:rsid w:val="00BF33E8"/>
    <w:rsid w:val="00C0254B"/>
    <w:rsid w:val="00CC162D"/>
    <w:rsid w:val="00CC69BF"/>
    <w:rsid w:val="00CD76B2"/>
    <w:rsid w:val="00CF03E8"/>
    <w:rsid w:val="00D320AC"/>
    <w:rsid w:val="00D9514B"/>
    <w:rsid w:val="00DA14FB"/>
    <w:rsid w:val="00DD4502"/>
    <w:rsid w:val="00E35ACB"/>
    <w:rsid w:val="00E36F18"/>
    <w:rsid w:val="00E37864"/>
    <w:rsid w:val="00ED24B8"/>
    <w:rsid w:val="00F705EB"/>
    <w:rsid w:val="00F8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paragraph" w:styleId="Heading1">
    <w:name w:val="heading 1"/>
    <w:basedOn w:val="Normal"/>
    <w:link w:val="Heading1Char"/>
    <w:uiPriority w:val="9"/>
    <w:qFormat/>
    <w:rsid w:val="00F80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0AC"/>
    <w:rPr>
      <w:sz w:val="20"/>
      <w:szCs w:val="20"/>
    </w:rPr>
  </w:style>
  <w:style w:type="character" w:styleId="FootnoteReference">
    <w:name w:val="footnote reference"/>
    <w:basedOn w:val="DefaultParagraphFont"/>
    <w:uiPriority w:val="99"/>
    <w:semiHidden/>
    <w:unhideWhenUsed/>
    <w:rsid w:val="00D320AC"/>
    <w:rPr>
      <w:vertAlign w:val="superscript"/>
    </w:rPr>
  </w:style>
  <w:style w:type="paragraph" w:styleId="NormalWeb">
    <w:name w:val="Normal (Web)"/>
    <w:basedOn w:val="Normal"/>
    <w:uiPriority w:val="99"/>
    <w:semiHidden/>
    <w:unhideWhenUsed/>
    <w:rsid w:val="00334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02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4597"/>
    <w:rPr>
      <w:color w:val="0000FF"/>
      <w:u w:val="single"/>
    </w:rPr>
  </w:style>
  <w:style w:type="character" w:customStyle="1" w:styleId="tgc">
    <w:name w:val="_tgc"/>
    <w:basedOn w:val="DefaultParagraphFont"/>
    <w:rsid w:val="00B45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paragraph" w:styleId="Heading1">
    <w:name w:val="heading 1"/>
    <w:basedOn w:val="Normal"/>
    <w:link w:val="Heading1Char"/>
    <w:uiPriority w:val="9"/>
    <w:qFormat/>
    <w:rsid w:val="00F80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0AC"/>
    <w:rPr>
      <w:sz w:val="20"/>
      <w:szCs w:val="20"/>
    </w:rPr>
  </w:style>
  <w:style w:type="character" w:styleId="FootnoteReference">
    <w:name w:val="footnote reference"/>
    <w:basedOn w:val="DefaultParagraphFont"/>
    <w:uiPriority w:val="99"/>
    <w:semiHidden/>
    <w:unhideWhenUsed/>
    <w:rsid w:val="00D320AC"/>
    <w:rPr>
      <w:vertAlign w:val="superscript"/>
    </w:rPr>
  </w:style>
  <w:style w:type="paragraph" w:styleId="NormalWeb">
    <w:name w:val="Normal (Web)"/>
    <w:basedOn w:val="Normal"/>
    <w:uiPriority w:val="99"/>
    <w:semiHidden/>
    <w:unhideWhenUsed/>
    <w:rsid w:val="00334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02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4597"/>
    <w:rPr>
      <w:color w:val="0000FF"/>
      <w:u w:val="single"/>
    </w:rPr>
  </w:style>
  <w:style w:type="character" w:customStyle="1" w:styleId="tgc">
    <w:name w:val="_tgc"/>
    <w:basedOn w:val="DefaultParagraphFont"/>
    <w:rsid w:val="00B4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7014">
      <w:bodyDiv w:val="1"/>
      <w:marLeft w:val="0"/>
      <w:marRight w:val="0"/>
      <w:marTop w:val="0"/>
      <w:marBottom w:val="0"/>
      <w:divBdr>
        <w:top w:val="none" w:sz="0" w:space="0" w:color="auto"/>
        <w:left w:val="none" w:sz="0" w:space="0" w:color="auto"/>
        <w:bottom w:val="none" w:sz="0" w:space="0" w:color="auto"/>
        <w:right w:val="none" w:sz="0" w:space="0" w:color="auto"/>
      </w:divBdr>
      <w:divsChild>
        <w:div w:id="694580069">
          <w:marLeft w:val="0"/>
          <w:marRight w:val="0"/>
          <w:marTop w:val="0"/>
          <w:marBottom w:val="0"/>
          <w:divBdr>
            <w:top w:val="none" w:sz="0" w:space="0" w:color="auto"/>
            <w:left w:val="none" w:sz="0" w:space="0" w:color="auto"/>
            <w:bottom w:val="none" w:sz="0" w:space="0" w:color="auto"/>
            <w:right w:val="none" w:sz="0" w:space="0" w:color="auto"/>
          </w:divBdr>
          <w:divsChild>
            <w:div w:id="1041637686">
              <w:marLeft w:val="0"/>
              <w:marRight w:val="0"/>
              <w:marTop w:val="0"/>
              <w:marBottom w:val="0"/>
              <w:divBdr>
                <w:top w:val="none" w:sz="0" w:space="0" w:color="auto"/>
                <w:left w:val="none" w:sz="0" w:space="0" w:color="auto"/>
                <w:bottom w:val="none" w:sz="0" w:space="0" w:color="auto"/>
                <w:right w:val="none" w:sz="0" w:space="0" w:color="auto"/>
              </w:divBdr>
              <w:divsChild>
                <w:div w:id="3323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387">
      <w:bodyDiv w:val="1"/>
      <w:marLeft w:val="0"/>
      <w:marRight w:val="0"/>
      <w:marTop w:val="0"/>
      <w:marBottom w:val="0"/>
      <w:divBdr>
        <w:top w:val="none" w:sz="0" w:space="0" w:color="auto"/>
        <w:left w:val="none" w:sz="0" w:space="0" w:color="auto"/>
        <w:bottom w:val="none" w:sz="0" w:space="0" w:color="auto"/>
        <w:right w:val="none" w:sz="0" w:space="0" w:color="auto"/>
      </w:divBdr>
    </w:div>
    <w:div w:id="662511908">
      <w:bodyDiv w:val="1"/>
      <w:marLeft w:val="0"/>
      <w:marRight w:val="0"/>
      <w:marTop w:val="0"/>
      <w:marBottom w:val="0"/>
      <w:divBdr>
        <w:top w:val="none" w:sz="0" w:space="0" w:color="auto"/>
        <w:left w:val="none" w:sz="0" w:space="0" w:color="auto"/>
        <w:bottom w:val="none" w:sz="0" w:space="0" w:color="auto"/>
        <w:right w:val="none" w:sz="0" w:space="0" w:color="auto"/>
      </w:divBdr>
    </w:div>
    <w:div w:id="12584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7120-3CFC-4CAC-9B24-A12975E5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21</cp:revision>
  <dcterms:created xsi:type="dcterms:W3CDTF">2015-02-27T16:19:00Z</dcterms:created>
  <dcterms:modified xsi:type="dcterms:W3CDTF">2015-03-02T05:33:00Z</dcterms:modified>
</cp:coreProperties>
</file>